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rPr>
          <w:rFonts w:hint="eastAsia" w:asciiTheme="majorEastAsia" w:hAnsiTheme="majorEastAsia" w:eastAsiaTheme="majorEastAsia" w:cstheme="majorEastAsia"/>
          <w:b/>
          <w:bCs/>
          <w:color w:val="auto"/>
          <w:sz w:val="36"/>
          <w:szCs w:val="36"/>
        </w:rPr>
      </w:pPr>
      <w:r>
        <w:rPr>
          <w:rStyle w:val="9"/>
          <w:rFonts w:hint="eastAsia" w:asciiTheme="majorEastAsia" w:hAnsiTheme="majorEastAsia" w:eastAsiaTheme="majorEastAsia" w:cstheme="majorEastAsia"/>
          <w:b/>
          <w:bCs/>
          <w:i w:val="0"/>
          <w:caps w:val="0"/>
          <w:color w:val="auto"/>
          <w:spacing w:val="0"/>
          <w:sz w:val="36"/>
          <w:szCs w:val="36"/>
        </w:rPr>
        <w:t>中华人民共和国国家发展和改革委员会</w:t>
      </w:r>
      <w:r>
        <w:rPr>
          <w:rStyle w:val="9"/>
          <w:rFonts w:hint="eastAsia" w:asciiTheme="majorEastAsia" w:hAnsiTheme="majorEastAsia" w:eastAsiaTheme="majorEastAsia" w:cstheme="majorEastAsia"/>
          <w:b/>
          <w:bCs/>
          <w:i w:val="0"/>
          <w:caps w:val="0"/>
          <w:color w:val="auto"/>
          <w:spacing w:val="0"/>
          <w:sz w:val="36"/>
          <w:szCs w:val="36"/>
        </w:rPr>
        <w:br w:type="textWrapping"/>
      </w:r>
      <w:r>
        <w:rPr>
          <w:rStyle w:val="9"/>
          <w:rFonts w:hint="eastAsia" w:asciiTheme="majorEastAsia" w:hAnsiTheme="majorEastAsia" w:eastAsiaTheme="majorEastAsia" w:cstheme="majorEastAsia"/>
          <w:b/>
          <w:bCs/>
          <w:i w:val="0"/>
          <w:caps w:val="0"/>
          <w:color w:val="auto"/>
          <w:spacing w:val="0"/>
          <w:sz w:val="36"/>
          <w:szCs w:val="36"/>
        </w:rPr>
        <w:t>中华人民共和国工业和信息化部</w:t>
      </w:r>
      <w:r>
        <w:rPr>
          <w:rStyle w:val="9"/>
          <w:rFonts w:hint="eastAsia" w:asciiTheme="majorEastAsia" w:hAnsiTheme="majorEastAsia" w:eastAsiaTheme="majorEastAsia" w:cstheme="majorEastAsia"/>
          <w:b/>
          <w:bCs/>
          <w:i w:val="0"/>
          <w:caps w:val="0"/>
          <w:color w:val="auto"/>
          <w:spacing w:val="0"/>
          <w:sz w:val="36"/>
          <w:szCs w:val="36"/>
        </w:rPr>
        <w:br w:type="textWrapping"/>
      </w:r>
      <w:r>
        <w:rPr>
          <w:rStyle w:val="9"/>
          <w:rFonts w:hint="eastAsia" w:asciiTheme="majorEastAsia" w:hAnsiTheme="majorEastAsia" w:eastAsiaTheme="majorEastAsia" w:cstheme="majorEastAsia"/>
          <w:b/>
          <w:bCs/>
          <w:i w:val="0"/>
          <w:caps w:val="0"/>
          <w:color w:val="auto"/>
          <w:spacing w:val="0"/>
          <w:sz w:val="36"/>
          <w:szCs w:val="36"/>
        </w:rPr>
        <w:t>中华人民共和国财政部</w:t>
      </w:r>
      <w:r>
        <w:rPr>
          <w:rStyle w:val="9"/>
          <w:rFonts w:hint="eastAsia" w:asciiTheme="majorEastAsia" w:hAnsiTheme="majorEastAsia" w:eastAsiaTheme="majorEastAsia" w:cstheme="majorEastAsia"/>
          <w:b/>
          <w:bCs/>
          <w:i w:val="0"/>
          <w:caps w:val="0"/>
          <w:color w:val="auto"/>
          <w:spacing w:val="0"/>
          <w:sz w:val="36"/>
          <w:szCs w:val="36"/>
        </w:rPr>
        <w:br w:type="textWrapping"/>
      </w:r>
      <w:r>
        <w:rPr>
          <w:rStyle w:val="9"/>
          <w:rFonts w:hint="eastAsia" w:asciiTheme="majorEastAsia" w:hAnsiTheme="majorEastAsia" w:eastAsiaTheme="majorEastAsia" w:cstheme="majorEastAsia"/>
          <w:b/>
          <w:bCs/>
          <w:i w:val="0"/>
          <w:caps w:val="0"/>
          <w:color w:val="auto"/>
          <w:spacing w:val="0"/>
          <w:sz w:val="36"/>
          <w:szCs w:val="36"/>
        </w:rPr>
        <w:t>中华人民共和国住房和城乡建设部</w:t>
      </w:r>
      <w:r>
        <w:rPr>
          <w:rStyle w:val="9"/>
          <w:rFonts w:hint="eastAsia" w:asciiTheme="majorEastAsia" w:hAnsiTheme="majorEastAsia" w:eastAsiaTheme="majorEastAsia" w:cstheme="majorEastAsia"/>
          <w:b/>
          <w:bCs/>
          <w:i w:val="0"/>
          <w:caps w:val="0"/>
          <w:color w:val="auto"/>
          <w:spacing w:val="0"/>
          <w:sz w:val="36"/>
          <w:szCs w:val="36"/>
        </w:rPr>
        <w:br w:type="textWrapping"/>
      </w:r>
      <w:r>
        <w:rPr>
          <w:rStyle w:val="9"/>
          <w:rFonts w:hint="eastAsia" w:asciiTheme="majorEastAsia" w:hAnsiTheme="majorEastAsia" w:eastAsiaTheme="majorEastAsia" w:cstheme="majorEastAsia"/>
          <w:b/>
          <w:bCs/>
          <w:i w:val="0"/>
          <w:caps w:val="0"/>
          <w:color w:val="auto"/>
          <w:spacing w:val="0"/>
          <w:sz w:val="36"/>
          <w:szCs w:val="36"/>
        </w:rPr>
        <w:t>中华人民共和国交通运输部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rPr>
          <w:rFonts w:hint="eastAsia" w:asciiTheme="majorEastAsia" w:hAnsiTheme="majorEastAsia" w:eastAsiaTheme="majorEastAsia" w:cstheme="majorEastAsia"/>
          <w:b/>
          <w:bCs/>
          <w:color w:val="auto"/>
          <w:sz w:val="36"/>
          <w:szCs w:val="36"/>
        </w:rPr>
      </w:pPr>
      <w:r>
        <w:rPr>
          <w:rStyle w:val="9"/>
          <w:rFonts w:hint="eastAsia" w:asciiTheme="majorEastAsia" w:hAnsiTheme="majorEastAsia" w:eastAsiaTheme="majorEastAsia" w:cstheme="majorEastAsia"/>
          <w:b/>
          <w:bCs/>
          <w:i w:val="0"/>
          <w:caps w:val="0"/>
          <w:color w:val="auto"/>
          <w:spacing w:val="0"/>
          <w:sz w:val="36"/>
          <w:szCs w:val="36"/>
        </w:rPr>
        <w:t>中华人民共和国铁道部</w:t>
      </w:r>
      <w:r>
        <w:rPr>
          <w:rStyle w:val="9"/>
          <w:rFonts w:hint="eastAsia" w:asciiTheme="majorEastAsia" w:hAnsiTheme="majorEastAsia" w:eastAsiaTheme="majorEastAsia" w:cstheme="majorEastAsia"/>
          <w:b/>
          <w:bCs/>
          <w:i w:val="0"/>
          <w:caps w:val="0"/>
          <w:color w:val="auto"/>
          <w:spacing w:val="0"/>
          <w:sz w:val="36"/>
          <w:szCs w:val="36"/>
        </w:rPr>
        <w:br w:type="textWrapping"/>
      </w:r>
      <w:r>
        <w:rPr>
          <w:rStyle w:val="9"/>
          <w:rFonts w:hint="eastAsia" w:asciiTheme="majorEastAsia" w:hAnsiTheme="majorEastAsia" w:eastAsiaTheme="majorEastAsia" w:cstheme="majorEastAsia"/>
          <w:b/>
          <w:bCs/>
          <w:i w:val="0"/>
          <w:caps w:val="0"/>
          <w:color w:val="auto"/>
          <w:spacing w:val="0"/>
          <w:sz w:val="36"/>
          <w:szCs w:val="36"/>
        </w:rPr>
        <w:t>中华人民共和国水利部</w:t>
      </w:r>
      <w:r>
        <w:rPr>
          <w:rStyle w:val="9"/>
          <w:rFonts w:hint="eastAsia" w:asciiTheme="majorEastAsia" w:hAnsiTheme="majorEastAsia" w:eastAsiaTheme="majorEastAsia" w:cstheme="majorEastAsia"/>
          <w:b/>
          <w:bCs/>
          <w:i w:val="0"/>
          <w:caps w:val="0"/>
          <w:color w:val="auto"/>
          <w:spacing w:val="0"/>
          <w:sz w:val="36"/>
          <w:szCs w:val="36"/>
        </w:rPr>
        <w:br w:type="textWrapping"/>
      </w:r>
      <w:r>
        <w:rPr>
          <w:rStyle w:val="9"/>
          <w:rFonts w:hint="eastAsia" w:asciiTheme="majorEastAsia" w:hAnsiTheme="majorEastAsia" w:eastAsiaTheme="majorEastAsia" w:cstheme="majorEastAsia"/>
          <w:b/>
          <w:bCs/>
          <w:i w:val="0"/>
          <w:caps w:val="0"/>
          <w:color w:val="auto"/>
          <w:spacing w:val="0"/>
          <w:sz w:val="36"/>
          <w:szCs w:val="36"/>
        </w:rPr>
        <w:t>国家广播电影电视总局</w:t>
      </w:r>
      <w:r>
        <w:rPr>
          <w:rStyle w:val="9"/>
          <w:rFonts w:hint="eastAsia" w:asciiTheme="majorEastAsia" w:hAnsiTheme="majorEastAsia" w:eastAsiaTheme="majorEastAsia" w:cstheme="majorEastAsia"/>
          <w:b/>
          <w:bCs/>
          <w:i w:val="0"/>
          <w:caps w:val="0"/>
          <w:color w:val="auto"/>
          <w:spacing w:val="0"/>
          <w:sz w:val="36"/>
          <w:szCs w:val="36"/>
        </w:rPr>
        <w:br w:type="textWrapping"/>
      </w:r>
      <w:r>
        <w:rPr>
          <w:rStyle w:val="9"/>
          <w:rFonts w:hint="eastAsia" w:asciiTheme="majorEastAsia" w:hAnsiTheme="majorEastAsia" w:eastAsiaTheme="majorEastAsia" w:cstheme="majorEastAsia"/>
          <w:b/>
          <w:bCs/>
          <w:i w:val="0"/>
          <w:caps w:val="0"/>
          <w:color w:val="auto"/>
          <w:spacing w:val="0"/>
          <w:sz w:val="36"/>
          <w:szCs w:val="36"/>
        </w:rPr>
        <w:t>中国民用航空局</w:t>
      </w:r>
      <w:r>
        <w:rPr>
          <w:rStyle w:val="9"/>
          <w:rFonts w:hint="eastAsia" w:asciiTheme="majorEastAsia" w:hAnsiTheme="majorEastAsia" w:eastAsiaTheme="majorEastAsia" w:cstheme="majorEastAsia"/>
          <w:b/>
          <w:bCs/>
          <w:i w:val="0"/>
          <w:caps w:val="0"/>
          <w:color w:val="auto"/>
          <w:spacing w:val="0"/>
          <w:sz w:val="36"/>
          <w:szCs w:val="36"/>
        </w:rPr>
        <w:br w:type="textWrapping"/>
      </w:r>
      <w:r>
        <w:rPr>
          <w:rStyle w:val="9"/>
          <w:rFonts w:hint="eastAsia" w:asciiTheme="majorEastAsia" w:hAnsiTheme="majorEastAsia" w:eastAsiaTheme="majorEastAsia" w:cstheme="majorEastAsia"/>
          <w:b/>
          <w:bCs/>
          <w:i w:val="0"/>
          <w:caps w:val="0"/>
          <w:color w:val="auto"/>
          <w:spacing w:val="0"/>
          <w:sz w:val="36"/>
          <w:szCs w:val="36"/>
        </w:rPr>
        <w:t>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ajorEastAsia" w:hAnsiTheme="majorEastAsia" w:eastAsiaTheme="majorEastAsia" w:cstheme="majorEastAsia"/>
          <w:b/>
          <w:bCs/>
          <w:i w:val="0"/>
          <w:caps w:val="0"/>
          <w:color w:val="auto"/>
          <w:spacing w:val="0"/>
          <w:sz w:val="36"/>
          <w:szCs w:val="36"/>
        </w:rPr>
      </w:pPr>
      <w:r>
        <w:rPr>
          <w:rStyle w:val="9"/>
          <w:rFonts w:hint="eastAsia" w:asciiTheme="majorEastAsia" w:hAnsiTheme="majorEastAsia" w:eastAsiaTheme="majorEastAsia" w:cstheme="majorEastAsia"/>
          <w:b/>
          <w:bCs/>
          <w:i w:val="0"/>
          <w:caps w:val="0"/>
          <w:color w:val="auto"/>
          <w:spacing w:val="0"/>
          <w:sz w:val="36"/>
          <w:szCs w:val="36"/>
        </w:rPr>
        <w:t>第23号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eastAsia="Arial" w:cs="Arial"/>
          <w:i w:val="0"/>
          <w:caps w:val="0"/>
          <w:color w:val="auto"/>
          <w:spacing w:val="0"/>
          <w:sz w:val="24"/>
          <w:szCs w:val="24"/>
        </w:rPr>
      </w:pPr>
      <w:r>
        <w:rPr>
          <w:rFonts w:hint="default" w:ascii="Arial" w:hAnsi="Arial" w:eastAsia="Arial" w:cs="Arial"/>
          <w:i w:val="0"/>
          <w:caps w:val="0"/>
          <w:color w:val="auto"/>
          <w:spacing w:val="0"/>
          <w:sz w:val="24"/>
          <w:szCs w:val="24"/>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textAlignment w:val="auto"/>
        <w:outlineLvl w:val="9"/>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rPr>
        <w:t>为落实《国务院办公厅转发发展改革委法制办监察部关于做好招标投标法实施条例贯彻实施工作意见的通知》（国办发[2012]21号）关于全面清理与招投标有关规定的要求，国家发展改革委会同有关部门，根据《招标投标法实施条例》，在广泛征求意见的基础上，对《招标投标法》实施以来国家发展改革委牵头制定的规章和规范性文件进行了全面清理。经过清理，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textAlignment w:val="auto"/>
        <w:outlineLvl w:val="9"/>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rPr>
        <w:t>一、对1件规范性文件予以废止。（附件1）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textAlignment w:val="auto"/>
        <w:outlineLvl w:val="9"/>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rPr>
        <w:t>二、对11件规章、1件规范性文件的部分条款予以修改。（附件2）</w:t>
      </w:r>
      <w:r>
        <w:rPr>
          <w:rFonts w:hint="eastAsia" w:ascii="仿宋" w:hAnsi="仿宋" w:eastAsia="仿宋" w:cs="仿宋"/>
          <w:i w:val="0"/>
          <w:caps w:val="0"/>
          <w:color w:val="auto"/>
          <w:spacing w:val="0"/>
          <w:sz w:val="30"/>
          <w:szCs w:val="30"/>
        </w:rPr>
        <w:br w:type="textWrapping"/>
      </w:r>
      <w:r>
        <w:rPr>
          <w:rFonts w:hint="eastAsia" w:ascii="仿宋" w:hAnsi="仿宋" w:eastAsia="仿宋" w:cs="仿宋"/>
          <w:i w:val="0"/>
          <w:caps w:val="0"/>
          <w:color w:val="auto"/>
          <w:spacing w:val="0"/>
          <w:sz w:val="30"/>
          <w:szCs w:val="30"/>
        </w:rPr>
        <w:t>     上述规章和规范性文件，属于国家发展改革委会同有关部门发布的，由国家发展改革委会同有关部门修改；属于国家发展改革委发布的，由国家发展改革委废止或者修改。</w:t>
      </w:r>
      <w:r>
        <w:rPr>
          <w:rFonts w:hint="eastAsia" w:ascii="仿宋" w:hAnsi="仿宋" w:eastAsia="仿宋" w:cs="仿宋"/>
          <w:i w:val="0"/>
          <w:caps w:val="0"/>
          <w:color w:val="auto"/>
          <w:spacing w:val="0"/>
          <w:sz w:val="30"/>
          <w:szCs w:val="30"/>
        </w:rPr>
        <w:br w:type="textWrapping"/>
      </w:r>
      <w:r>
        <w:rPr>
          <w:rFonts w:hint="eastAsia" w:ascii="仿宋" w:hAnsi="仿宋" w:eastAsia="仿宋" w:cs="仿宋"/>
          <w:i w:val="0"/>
          <w:caps w:val="0"/>
          <w:color w:val="auto"/>
          <w:spacing w:val="0"/>
          <w:sz w:val="30"/>
          <w:szCs w:val="30"/>
          <w:lang w:val="en-US" w:eastAsia="zh-CN"/>
        </w:rPr>
        <w:t xml:space="preserve">    </w:t>
      </w:r>
      <w:r>
        <w:rPr>
          <w:rFonts w:hint="eastAsia" w:ascii="仿宋" w:hAnsi="仿宋" w:eastAsia="仿宋" w:cs="仿宋"/>
          <w:i w:val="0"/>
          <w:caps w:val="0"/>
          <w:color w:val="auto"/>
          <w:spacing w:val="0"/>
          <w:sz w:val="30"/>
          <w:szCs w:val="30"/>
        </w:rPr>
        <w:t>本决定自2013年5月1日起施行。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rPr>
        <w:t>　　附件：</w:t>
      </w:r>
      <w:r>
        <w:rPr>
          <w:rFonts w:hint="eastAsia" w:ascii="仿宋" w:hAnsi="仿宋" w:eastAsia="仿宋" w:cs="仿宋"/>
          <w:i w:val="0"/>
          <w:caps w:val="0"/>
          <w:color w:val="auto"/>
          <w:spacing w:val="0"/>
          <w:sz w:val="30"/>
          <w:szCs w:val="30"/>
          <w:u w:val="none"/>
        </w:rPr>
        <w:fldChar w:fldCharType="begin"/>
      </w:r>
      <w:r>
        <w:rPr>
          <w:rFonts w:hint="eastAsia" w:ascii="仿宋" w:hAnsi="仿宋" w:eastAsia="仿宋" w:cs="仿宋"/>
          <w:i w:val="0"/>
          <w:caps w:val="0"/>
          <w:color w:val="auto"/>
          <w:spacing w:val="0"/>
          <w:sz w:val="30"/>
          <w:szCs w:val="30"/>
          <w:u w:val="none"/>
        </w:rPr>
        <w:instrText xml:space="preserve"> HYPERLINK "../../附件1  决定废止的规范性文件.pdf" </w:instrText>
      </w:r>
      <w:r>
        <w:rPr>
          <w:rFonts w:hint="eastAsia" w:ascii="仿宋" w:hAnsi="仿宋" w:eastAsia="仿宋" w:cs="仿宋"/>
          <w:i w:val="0"/>
          <w:caps w:val="0"/>
          <w:color w:val="auto"/>
          <w:spacing w:val="0"/>
          <w:sz w:val="30"/>
          <w:szCs w:val="30"/>
          <w:u w:val="none"/>
        </w:rPr>
        <w:fldChar w:fldCharType="separate"/>
      </w:r>
      <w:r>
        <w:rPr>
          <w:rStyle w:val="10"/>
          <w:rFonts w:hint="eastAsia" w:ascii="仿宋" w:hAnsi="仿宋" w:eastAsia="仿宋" w:cs="仿宋"/>
          <w:i w:val="0"/>
          <w:caps w:val="0"/>
          <w:spacing w:val="0"/>
          <w:sz w:val="30"/>
          <w:szCs w:val="30"/>
        </w:rPr>
        <w:t>1.决定废止的规范性文件</w:t>
      </w:r>
      <w:r>
        <w:rPr>
          <w:rFonts w:hint="eastAsia" w:ascii="仿宋" w:hAnsi="仿宋" w:eastAsia="仿宋" w:cs="仿宋"/>
          <w:i w:val="0"/>
          <w:caps w:val="0"/>
          <w:color w:val="auto"/>
          <w:spacing w:val="0"/>
          <w:sz w:val="30"/>
          <w:szCs w:val="30"/>
          <w:u w:val="none"/>
        </w:rPr>
        <w:fldChar w:fldCharType="end"/>
      </w:r>
      <w:r>
        <w:rPr>
          <w:rFonts w:hint="eastAsia" w:ascii="仿宋" w:hAnsi="仿宋" w:eastAsia="仿宋" w:cs="仿宋"/>
          <w:i w:val="0"/>
          <w:caps w:val="0"/>
          <w:color w:val="auto"/>
          <w:spacing w:val="0"/>
          <w:sz w:val="30"/>
          <w:szCs w:val="30"/>
        </w:rPr>
        <w:br w:type="textWrapping"/>
      </w:r>
      <w:r>
        <w:rPr>
          <w:rFonts w:hint="eastAsia" w:ascii="仿宋" w:hAnsi="仿宋" w:eastAsia="仿宋" w:cs="仿宋"/>
          <w:i w:val="0"/>
          <w:caps w:val="0"/>
          <w:color w:val="auto"/>
          <w:spacing w:val="0"/>
          <w:sz w:val="30"/>
          <w:szCs w:val="30"/>
        </w:rPr>
        <w:t>　　　　　</w:t>
      </w:r>
      <w:r>
        <w:rPr>
          <w:rFonts w:hint="eastAsia" w:ascii="仿宋" w:hAnsi="仿宋" w:eastAsia="仿宋" w:cs="仿宋"/>
          <w:i w:val="0"/>
          <w:caps w:val="0"/>
          <w:color w:val="auto"/>
          <w:spacing w:val="0"/>
          <w:sz w:val="30"/>
          <w:szCs w:val="30"/>
          <w:u w:val="none"/>
        </w:rPr>
        <w:fldChar w:fldCharType="begin"/>
      </w:r>
      <w:r>
        <w:rPr>
          <w:rFonts w:hint="eastAsia" w:ascii="仿宋" w:hAnsi="仿宋" w:eastAsia="仿宋" w:cs="仿宋"/>
          <w:i w:val="0"/>
          <w:caps w:val="0"/>
          <w:color w:val="auto"/>
          <w:spacing w:val="0"/>
          <w:sz w:val="30"/>
          <w:szCs w:val="30"/>
          <w:u w:val="none"/>
        </w:rPr>
        <w:instrText xml:space="preserve"> HYPERLINK "../../附件2  决定修改的规章和规范性文件.pdf" </w:instrText>
      </w:r>
      <w:r>
        <w:rPr>
          <w:rFonts w:hint="eastAsia" w:ascii="仿宋" w:hAnsi="仿宋" w:eastAsia="仿宋" w:cs="仿宋"/>
          <w:i w:val="0"/>
          <w:caps w:val="0"/>
          <w:color w:val="auto"/>
          <w:spacing w:val="0"/>
          <w:sz w:val="30"/>
          <w:szCs w:val="30"/>
          <w:u w:val="none"/>
        </w:rPr>
        <w:fldChar w:fldCharType="separate"/>
      </w:r>
      <w:r>
        <w:rPr>
          <w:rStyle w:val="10"/>
          <w:rFonts w:hint="eastAsia" w:ascii="仿宋" w:hAnsi="仿宋" w:eastAsia="仿宋" w:cs="仿宋"/>
          <w:i w:val="0"/>
          <w:caps w:val="0"/>
          <w:spacing w:val="0"/>
          <w:sz w:val="30"/>
          <w:szCs w:val="30"/>
        </w:rPr>
        <w:t>2.决定修改的规章和规范性文件</w:t>
      </w:r>
      <w:r>
        <w:rPr>
          <w:rFonts w:hint="eastAsia" w:ascii="仿宋" w:hAnsi="仿宋" w:eastAsia="仿宋" w:cs="仿宋"/>
          <w:i w:val="0"/>
          <w:caps w:val="0"/>
          <w:color w:val="auto"/>
          <w:spacing w:val="0"/>
          <w:sz w:val="30"/>
          <w:szCs w:val="30"/>
          <w:u w:val="none"/>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rPr>
        <w:br w:type="textWrapping"/>
      </w:r>
      <w:r>
        <w:rPr>
          <w:rFonts w:hint="eastAsia" w:ascii="仿宋" w:hAnsi="仿宋" w:eastAsia="仿宋" w:cs="仿宋"/>
          <w:i w:val="0"/>
          <w:caps w:val="0"/>
          <w:color w:val="auto"/>
          <w:spacing w:val="0"/>
          <w:sz w:val="30"/>
          <w:szCs w:val="30"/>
        </w:rPr>
        <w:t>国家发展改革委主任：张平</w:t>
      </w:r>
      <w:r>
        <w:rPr>
          <w:rFonts w:hint="eastAsia" w:ascii="仿宋" w:hAnsi="仿宋" w:eastAsia="仿宋" w:cs="仿宋"/>
          <w:i w:val="0"/>
          <w:caps w:val="0"/>
          <w:color w:val="auto"/>
          <w:spacing w:val="0"/>
          <w:sz w:val="30"/>
          <w:szCs w:val="30"/>
        </w:rPr>
        <w:br w:type="textWrapping"/>
      </w:r>
      <w:r>
        <w:rPr>
          <w:rFonts w:hint="eastAsia" w:ascii="仿宋" w:hAnsi="仿宋" w:eastAsia="仿宋" w:cs="仿宋"/>
          <w:i w:val="0"/>
          <w:caps w:val="0"/>
          <w:color w:val="auto"/>
          <w:spacing w:val="0"/>
          <w:sz w:val="30"/>
          <w:szCs w:val="30"/>
        </w:rPr>
        <w:t>工业和信息化部部长：苗圩</w:t>
      </w:r>
      <w:r>
        <w:rPr>
          <w:rFonts w:hint="eastAsia" w:ascii="仿宋" w:hAnsi="仿宋" w:eastAsia="仿宋" w:cs="仿宋"/>
          <w:i w:val="0"/>
          <w:caps w:val="0"/>
          <w:color w:val="auto"/>
          <w:spacing w:val="0"/>
          <w:sz w:val="30"/>
          <w:szCs w:val="30"/>
        </w:rPr>
        <w:br w:type="textWrapping"/>
      </w:r>
      <w:bookmarkStart w:id="0" w:name="_GoBack"/>
      <w:bookmarkEnd w:id="0"/>
      <w:r>
        <w:rPr>
          <w:rFonts w:hint="eastAsia" w:ascii="仿宋" w:hAnsi="仿宋" w:eastAsia="仿宋" w:cs="仿宋"/>
          <w:i w:val="0"/>
          <w:caps w:val="0"/>
          <w:color w:val="auto"/>
          <w:spacing w:val="0"/>
          <w:sz w:val="30"/>
          <w:szCs w:val="30"/>
        </w:rPr>
        <w:t>财政部部长：谢旭人</w:t>
      </w:r>
      <w:r>
        <w:rPr>
          <w:rFonts w:hint="eastAsia" w:ascii="仿宋" w:hAnsi="仿宋" w:eastAsia="仿宋" w:cs="仿宋"/>
          <w:i w:val="0"/>
          <w:caps w:val="0"/>
          <w:color w:val="auto"/>
          <w:spacing w:val="0"/>
          <w:sz w:val="30"/>
          <w:szCs w:val="30"/>
        </w:rPr>
        <w:br w:type="textWrapping"/>
      </w:r>
      <w:r>
        <w:rPr>
          <w:rFonts w:hint="eastAsia" w:ascii="仿宋" w:hAnsi="仿宋" w:eastAsia="仿宋" w:cs="仿宋"/>
          <w:i w:val="0"/>
          <w:caps w:val="0"/>
          <w:color w:val="auto"/>
          <w:spacing w:val="0"/>
          <w:sz w:val="30"/>
          <w:szCs w:val="30"/>
        </w:rPr>
        <w:t>住房城乡建设部部长：姜伟新</w:t>
      </w:r>
      <w:r>
        <w:rPr>
          <w:rFonts w:hint="eastAsia" w:ascii="仿宋" w:hAnsi="仿宋" w:eastAsia="仿宋" w:cs="仿宋"/>
          <w:i w:val="0"/>
          <w:caps w:val="0"/>
          <w:color w:val="auto"/>
          <w:spacing w:val="0"/>
          <w:sz w:val="30"/>
          <w:szCs w:val="30"/>
        </w:rPr>
        <w:br w:type="textWrapping"/>
      </w:r>
      <w:r>
        <w:rPr>
          <w:rFonts w:hint="eastAsia" w:ascii="仿宋" w:hAnsi="仿宋" w:eastAsia="仿宋" w:cs="仿宋"/>
          <w:i w:val="0"/>
          <w:caps w:val="0"/>
          <w:color w:val="auto"/>
          <w:spacing w:val="0"/>
          <w:sz w:val="30"/>
          <w:szCs w:val="30"/>
        </w:rPr>
        <w:t>交通运输部部长：杨传堂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rPr>
        <w:t>铁道部部长：盛光祖</w:t>
      </w:r>
      <w:r>
        <w:rPr>
          <w:rFonts w:hint="eastAsia" w:ascii="仿宋" w:hAnsi="仿宋" w:eastAsia="仿宋" w:cs="仿宋"/>
          <w:i w:val="0"/>
          <w:caps w:val="0"/>
          <w:color w:val="auto"/>
          <w:spacing w:val="0"/>
          <w:sz w:val="30"/>
          <w:szCs w:val="30"/>
        </w:rPr>
        <w:br w:type="textWrapping"/>
      </w:r>
      <w:r>
        <w:rPr>
          <w:rFonts w:hint="eastAsia" w:ascii="仿宋" w:hAnsi="仿宋" w:eastAsia="仿宋" w:cs="仿宋"/>
          <w:i w:val="0"/>
          <w:caps w:val="0"/>
          <w:color w:val="auto"/>
          <w:spacing w:val="0"/>
          <w:sz w:val="30"/>
          <w:szCs w:val="30"/>
        </w:rPr>
        <w:t>水利部部长：陈雷</w:t>
      </w:r>
      <w:r>
        <w:rPr>
          <w:rFonts w:hint="eastAsia" w:ascii="仿宋" w:hAnsi="仿宋" w:eastAsia="仿宋" w:cs="仿宋"/>
          <w:i w:val="0"/>
          <w:caps w:val="0"/>
          <w:color w:val="auto"/>
          <w:spacing w:val="0"/>
          <w:sz w:val="30"/>
          <w:szCs w:val="30"/>
        </w:rPr>
        <w:br w:type="textWrapping"/>
      </w:r>
      <w:r>
        <w:rPr>
          <w:rFonts w:hint="eastAsia" w:ascii="仿宋" w:hAnsi="仿宋" w:eastAsia="仿宋" w:cs="仿宋"/>
          <w:i w:val="0"/>
          <w:caps w:val="0"/>
          <w:color w:val="auto"/>
          <w:spacing w:val="0"/>
          <w:sz w:val="30"/>
          <w:szCs w:val="30"/>
        </w:rPr>
        <w:t>广电总局局长：蔡赴朝</w:t>
      </w:r>
      <w:r>
        <w:rPr>
          <w:rFonts w:hint="eastAsia" w:ascii="仿宋" w:hAnsi="仿宋" w:eastAsia="仿宋" w:cs="仿宋"/>
          <w:i w:val="0"/>
          <w:caps w:val="0"/>
          <w:color w:val="auto"/>
          <w:spacing w:val="0"/>
          <w:sz w:val="30"/>
          <w:szCs w:val="30"/>
        </w:rPr>
        <w:br w:type="textWrapping"/>
      </w:r>
      <w:r>
        <w:rPr>
          <w:rFonts w:hint="eastAsia" w:ascii="仿宋" w:hAnsi="仿宋" w:eastAsia="仿宋" w:cs="仿宋"/>
          <w:i w:val="0"/>
          <w:caps w:val="0"/>
          <w:color w:val="auto"/>
          <w:spacing w:val="0"/>
          <w:sz w:val="30"/>
          <w:szCs w:val="30"/>
        </w:rPr>
        <w:t>民航局局长：李家祥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rPr>
        <w:t>2013年3月11日</w:t>
      </w:r>
    </w:p>
    <w:p>
      <w:pPr>
        <w:widowControl/>
        <w:spacing w:before="100" w:beforeAutospacing="1" w:after="100" w:afterAutospacing="1"/>
        <w:jc w:val="center"/>
        <w:outlineLvl w:val="1"/>
        <w:rPr>
          <w:rFonts w:hint="eastAsia" w:ascii="方正小标宋简体" w:hAnsi="方正小标宋简体" w:eastAsia="方正小标宋简体" w:cs="方正小标宋简体"/>
          <w:b w:val="0"/>
          <w:bCs w:val="0"/>
          <w:kern w:val="0"/>
          <w:sz w:val="36"/>
          <w:szCs w:val="36"/>
        </w:rPr>
      </w:pPr>
    </w:p>
    <w:p>
      <w:pPr>
        <w:widowControl/>
        <w:spacing w:before="100" w:beforeAutospacing="1" w:after="100" w:afterAutospacing="1"/>
        <w:jc w:val="center"/>
        <w:outlineLvl w:val="1"/>
        <w:rPr>
          <w:rFonts w:hint="eastAsia" w:ascii="方正小标宋简体" w:hAnsi="方正小标宋简体" w:eastAsia="方正小标宋简体" w:cs="方正小标宋简体"/>
          <w:b w:val="0"/>
          <w:bCs w:val="0"/>
          <w:kern w:val="0"/>
          <w:sz w:val="36"/>
          <w:szCs w:val="36"/>
        </w:rPr>
      </w:pPr>
    </w:p>
    <w:p>
      <w:pPr>
        <w:widowControl/>
        <w:spacing w:before="100" w:beforeAutospacing="1" w:after="100" w:afterAutospacing="1"/>
        <w:jc w:val="center"/>
        <w:outlineLvl w:val="1"/>
        <w:rPr>
          <w:rFonts w:hint="eastAsia" w:ascii="方正小标宋简体" w:hAnsi="方正小标宋简体" w:eastAsia="方正小标宋简体" w:cs="方正小标宋简体"/>
          <w:b w:val="0"/>
          <w:bCs w:val="0"/>
          <w:kern w:val="0"/>
          <w:sz w:val="36"/>
          <w:szCs w:val="36"/>
        </w:rPr>
      </w:pPr>
    </w:p>
    <w:p>
      <w:pPr>
        <w:widowControl/>
        <w:spacing w:before="100" w:beforeAutospacing="1" w:after="100" w:afterAutospacing="1"/>
        <w:jc w:val="center"/>
        <w:outlineLvl w:val="1"/>
        <w:rPr>
          <w:rFonts w:hint="eastAsia" w:ascii="方正小标宋简体" w:hAnsi="方正小标宋简体" w:eastAsia="方正小标宋简体" w:cs="方正小标宋简体"/>
          <w:b w:val="0"/>
          <w:bCs w:val="0"/>
          <w:kern w:val="0"/>
          <w:sz w:val="36"/>
          <w:szCs w:val="36"/>
        </w:rPr>
      </w:pPr>
    </w:p>
    <w:p>
      <w:pPr>
        <w:widowControl/>
        <w:spacing w:before="100" w:beforeAutospacing="1" w:after="100" w:afterAutospacing="1"/>
        <w:jc w:val="center"/>
        <w:outlineLvl w:val="1"/>
        <w:rPr>
          <w:rFonts w:hint="eastAsia" w:asciiTheme="majorEastAsia" w:hAnsiTheme="majorEastAsia" w:eastAsiaTheme="majorEastAsia" w:cstheme="majorEastAsia"/>
          <w:b/>
          <w:bCs/>
          <w:kern w:val="0"/>
          <w:sz w:val="44"/>
          <w:szCs w:val="44"/>
        </w:rPr>
      </w:pPr>
      <w:r>
        <w:rPr>
          <w:rFonts w:hint="eastAsia" w:asciiTheme="majorEastAsia" w:hAnsiTheme="majorEastAsia" w:eastAsiaTheme="majorEastAsia" w:cstheme="majorEastAsia"/>
          <w:b/>
          <w:bCs/>
          <w:kern w:val="0"/>
          <w:sz w:val="44"/>
          <w:szCs w:val="44"/>
        </w:rPr>
        <w:t>工程建设项目招标投标活动投诉处理办法</w:t>
      </w:r>
    </w:p>
    <w:p>
      <w:pPr>
        <w:widowControl/>
        <w:spacing w:before="100" w:beforeAutospacing="1" w:after="100" w:afterAutospacing="1"/>
        <w:jc w:val="center"/>
        <w:outlineLvl w:val="1"/>
        <w:rPr>
          <w:rFonts w:hint="eastAsia" w:asciiTheme="majorEastAsia" w:hAnsiTheme="majorEastAsia" w:eastAsiaTheme="majorEastAsia" w:cstheme="majorEastAsia"/>
          <w:b/>
          <w:bCs/>
          <w:kern w:val="0"/>
          <w:sz w:val="44"/>
          <w:szCs w:val="44"/>
        </w:rPr>
      </w:pPr>
      <w:r>
        <w:rPr>
          <w:rFonts w:hint="eastAsia" w:asciiTheme="majorEastAsia" w:hAnsiTheme="majorEastAsia" w:eastAsiaTheme="majorEastAsia" w:cstheme="majorEastAsia"/>
          <w:b/>
          <w:bCs/>
          <w:kern w:val="0"/>
          <w:sz w:val="44"/>
          <w:szCs w:val="44"/>
        </w:rPr>
        <w:t>(</w:t>
      </w:r>
      <w:r>
        <w:rPr>
          <w:rFonts w:hint="eastAsia" w:asciiTheme="majorEastAsia" w:hAnsiTheme="majorEastAsia" w:eastAsiaTheme="majorEastAsia" w:cstheme="majorEastAsia"/>
          <w:b/>
          <w:bCs/>
          <w:kern w:val="0"/>
          <w:sz w:val="44"/>
          <w:szCs w:val="44"/>
          <w:lang w:val="en-US" w:eastAsia="zh-CN"/>
        </w:rPr>
        <w:t>国家</w:t>
      </w:r>
      <w:r>
        <w:rPr>
          <w:rFonts w:hint="eastAsia" w:asciiTheme="majorEastAsia" w:hAnsiTheme="majorEastAsia" w:eastAsiaTheme="majorEastAsia" w:cstheme="majorEastAsia"/>
          <w:b/>
          <w:bCs/>
          <w:kern w:val="0"/>
          <w:sz w:val="44"/>
          <w:szCs w:val="44"/>
        </w:rPr>
        <w:t>七部委</w:t>
      </w:r>
      <w:r>
        <w:rPr>
          <w:rFonts w:hint="eastAsia" w:asciiTheme="majorEastAsia" w:hAnsiTheme="majorEastAsia" w:eastAsiaTheme="majorEastAsia" w:cstheme="majorEastAsia"/>
          <w:b/>
          <w:bCs/>
          <w:kern w:val="0"/>
          <w:sz w:val="44"/>
          <w:szCs w:val="44"/>
          <w:lang w:val="en-US" w:eastAsia="zh-CN"/>
        </w:rPr>
        <w:t>第11号</w:t>
      </w:r>
      <w:r>
        <w:rPr>
          <w:rFonts w:hint="eastAsia" w:asciiTheme="majorEastAsia" w:hAnsiTheme="majorEastAsia" w:eastAsiaTheme="majorEastAsia" w:cstheme="majorEastAsia"/>
          <w:b/>
          <w:bCs/>
          <w:kern w:val="0"/>
          <w:sz w:val="44"/>
          <w:szCs w:val="44"/>
        </w:rPr>
        <w:t>令)</w:t>
      </w:r>
    </w:p>
    <w:p>
      <w:pPr>
        <w:widowControl/>
        <w:spacing w:before="100" w:beforeAutospacing="1" w:after="100" w:afterAutospacing="1"/>
        <w:jc w:val="center"/>
        <w:rPr>
          <w:rFonts w:hint="eastAsia" w:ascii="仿宋" w:hAnsi="仿宋" w:eastAsia="仿宋" w:cs="仿宋"/>
          <w:kern w:val="0"/>
          <w:sz w:val="28"/>
          <w:szCs w:val="28"/>
          <w:lang w:eastAsia="zh-CN"/>
        </w:rPr>
      </w:pPr>
      <w:r>
        <w:rPr>
          <w:rFonts w:hint="eastAsia" w:ascii="仿宋" w:hAnsi="仿宋" w:eastAsia="仿宋" w:cs="仿宋"/>
          <w:sz w:val="28"/>
          <w:szCs w:val="28"/>
          <w:lang w:val="en-US" w:eastAsia="zh-CN"/>
        </w:rPr>
        <w:t>（2004年6月21日</w:t>
      </w:r>
      <w:r>
        <w:rPr>
          <w:rFonts w:hint="eastAsia" w:ascii="仿宋" w:hAnsi="仿宋" w:eastAsia="仿宋" w:cs="仿宋"/>
          <w:kern w:val="0"/>
          <w:sz w:val="28"/>
          <w:szCs w:val="28"/>
        </w:rPr>
        <w:t>国家发展和改革委员会、建设部、铁道部、交通部、信息产业部、水利部、中国民用航空总局</w:t>
      </w:r>
      <w:r>
        <w:rPr>
          <w:rFonts w:hint="eastAsia" w:ascii="仿宋" w:hAnsi="仿宋" w:eastAsia="仿宋" w:cs="仿宋"/>
          <w:sz w:val="28"/>
          <w:szCs w:val="28"/>
        </w:rPr>
        <w:t>七部委</w:t>
      </w:r>
      <w:r>
        <w:rPr>
          <w:rFonts w:hint="eastAsia" w:ascii="仿宋" w:hAnsi="仿宋" w:eastAsia="仿宋" w:cs="仿宋"/>
          <w:kern w:val="0"/>
          <w:sz w:val="28"/>
          <w:szCs w:val="28"/>
        </w:rPr>
        <w:t>第11号令</w:t>
      </w:r>
      <w:r>
        <w:rPr>
          <w:rFonts w:hint="eastAsia" w:ascii="仿宋" w:hAnsi="仿宋" w:eastAsia="仿宋" w:cs="仿宋"/>
          <w:sz w:val="28"/>
          <w:szCs w:val="28"/>
        </w:rPr>
        <w:t>，</w:t>
      </w:r>
      <w:r>
        <w:rPr>
          <w:rFonts w:hint="eastAsia" w:ascii="仿宋" w:hAnsi="仿宋" w:eastAsia="仿宋" w:cs="仿宋"/>
          <w:sz w:val="28"/>
          <w:szCs w:val="28"/>
          <w:lang w:val="en-US" w:eastAsia="zh-CN"/>
        </w:rPr>
        <w:t>根据</w:t>
      </w:r>
      <w:r>
        <w:rPr>
          <w:rFonts w:hint="eastAsia" w:ascii="仿宋" w:hAnsi="仿宋" w:eastAsia="仿宋" w:cs="仿宋"/>
          <w:sz w:val="28"/>
          <w:szCs w:val="28"/>
        </w:rPr>
        <w:t>2013年</w:t>
      </w:r>
      <w:r>
        <w:rPr>
          <w:rFonts w:hint="eastAsia" w:ascii="仿宋" w:hAnsi="仿宋" w:eastAsia="仿宋" w:cs="仿宋"/>
          <w:sz w:val="28"/>
          <w:szCs w:val="28"/>
          <w:lang w:val="en-US" w:eastAsia="zh-CN"/>
        </w:rPr>
        <w:t>3月11日国家发展改革委、工业和信息化部、财政部、住房城乡建设部、交通运输部、铁道部、水利部、广电总局、民航局九</w:t>
      </w:r>
      <w:r>
        <w:rPr>
          <w:rFonts w:hint="eastAsia" w:ascii="仿宋" w:hAnsi="仿宋" w:eastAsia="仿宋" w:cs="仿宋"/>
          <w:sz w:val="28"/>
          <w:szCs w:val="28"/>
        </w:rPr>
        <w:t>部委</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关于废止和修改部分招标投标规章和规范性文件的决定</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2013年第</w:t>
      </w:r>
      <w:r>
        <w:rPr>
          <w:rFonts w:hint="eastAsia" w:ascii="仿宋" w:hAnsi="仿宋" w:eastAsia="仿宋" w:cs="仿宋"/>
          <w:sz w:val="28"/>
          <w:szCs w:val="28"/>
        </w:rPr>
        <w:t>23号令</w:t>
      </w:r>
      <w:r>
        <w:rPr>
          <w:rFonts w:hint="eastAsia" w:ascii="仿宋" w:hAnsi="仿宋" w:eastAsia="仿宋" w:cs="仿宋"/>
          <w:sz w:val="28"/>
          <w:szCs w:val="28"/>
          <w:lang w:val="en-US" w:eastAsia="zh-CN"/>
        </w:rPr>
        <w:t>修正</w:t>
      </w:r>
      <w:r>
        <w:rPr>
          <w:rFonts w:hint="eastAsia" w:ascii="仿宋" w:hAnsi="仿宋" w:eastAsia="仿宋" w:cs="仿宋"/>
          <w:sz w:val="28"/>
          <w:szCs w:val="28"/>
          <w:lang w:eastAsia="zh-CN"/>
        </w:rPr>
        <w:t>）</w:t>
      </w:r>
    </w:p>
    <w:p>
      <w:pPr>
        <w:widowControl/>
        <w:spacing w:before="100" w:beforeAutospacing="1" w:after="100" w:afterAutospacing="1"/>
        <w:ind w:firstLine="643" w:firstLineChars="200"/>
        <w:jc w:val="left"/>
        <w:rPr>
          <w:rFonts w:hint="eastAsia" w:ascii="仿宋" w:hAnsi="仿宋" w:eastAsia="仿宋" w:cs="仿宋"/>
          <w:kern w:val="0"/>
          <w:sz w:val="32"/>
          <w:szCs w:val="32"/>
        </w:rPr>
      </w:pPr>
      <w:r>
        <w:rPr>
          <w:rFonts w:hint="eastAsia" w:ascii="仿宋" w:hAnsi="仿宋" w:eastAsia="仿宋" w:cs="仿宋"/>
          <w:b/>
          <w:bCs/>
          <w:kern w:val="0"/>
          <w:sz w:val="32"/>
          <w:szCs w:val="32"/>
        </w:rPr>
        <w:t>第一条</w:t>
      </w:r>
      <w:r>
        <w:rPr>
          <w:rFonts w:hint="eastAsia" w:ascii="仿宋" w:hAnsi="仿宋" w:eastAsia="仿宋" w:cs="仿宋"/>
          <w:kern w:val="0"/>
          <w:sz w:val="32"/>
          <w:szCs w:val="32"/>
        </w:rPr>
        <w:t>　为保护国家利益、社会公共利益和招标投标当事人的合法权益，建立公平、高效的工程建设项目招标投标活动投诉处理机制，根据《中华人民共和国招标投标法》、</w:t>
      </w:r>
      <w:r>
        <w:rPr>
          <w:rFonts w:hint="eastAsia" w:ascii="仿宋" w:hAnsi="仿宋" w:eastAsia="仿宋" w:cs="仿宋"/>
          <w:color w:val="1621E0"/>
          <w:kern w:val="0"/>
          <w:sz w:val="32"/>
          <w:szCs w:val="32"/>
        </w:rPr>
        <w:t>《中华人民共和国招标投标法实施条例》</w:t>
      </w:r>
      <w:r>
        <w:rPr>
          <w:rFonts w:hint="eastAsia" w:ascii="仿宋" w:hAnsi="仿宋" w:eastAsia="仿宋" w:cs="仿宋"/>
          <w:kern w:val="0"/>
          <w:sz w:val="32"/>
          <w:szCs w:val="32"/>
        </w:rPr>
        <w:t>制定本办法。</w:t>
      </w:r>
    </w:p>
    <w:p>
      <w:pPr>
        <w:widowControl/>
        <w:spacing w:before="100" w:beforeAutospacing="1" w:after="100" w:afterAutospacing="1"/>
        <w:jc w:val="left"/>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b/>
          <w:bCs/>
          <w:kern w:val="0"/>
          <w:sz w:val="32"/>
          <w:szCs w:val="32"/>
        </w:rPr>
        <w:t>第二条</w:t>
      </w:r>
      <w:r>
        <w:rPr>
          <w:rFonts w:hint="eastAsia" w:ascii="仿宋" w:hAnsi="仿宋" w:eastAsia="仿宋" w:cs="仿宋"/>
          <w:kern w:val="0"/>
          <w:sz w:val="32"/>
          <w:szCs w:val="32"/>
        </w:rPr>
        <w:t>　本办法适用于工程建设项目招标投标活动的投诉及其处理活动。</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前款所称招标投标活动，包括招标、投标、开标、评标、中标以及签订合同等各阶段。</w:t>
      </w:r>
    </w:p>
    <w:p>
      <w:pPr>
        <w:widowControl/>
        <w:spacing w:before="100" w:beforeAutospacing="1" w:after="100" w:afterAutospacing="1"/>
        <w:jc w:val="left"/>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b/>
          <w:bCs/>
          <w:kern w:val="0"/>
          <w:sz w:val="32"/>
          <w:szCs w:val="32"/>
        </w:rPr>
        <w:t>第三条</w:t>
      </w:r>
      <w:r>
        <w:rPr>
          <w:rFonts w:hint="eastAsia" w:ascii="仿宋" w:hAnsi="仿宋" w:eastAsia="仿宋" w:cs="仿宋"/>
          <w:kern w:val="0"/>
          <w:sz w:val="32"/>
          <w:szCs w:val="32"/>
        </w:rPr>
        <w:t>　投标人</w:t>
      </w:r>
      <w:r>
        <w:rPr>
          <w:rFonts w:hint="eastAsia" w:ascii="仿宋" w:hAnsi="仿宋" w:eastAsia="仿宋" w:cs="仿宋"/>
          <w:color w:val="1621E0"/>
          <w:kern w:val="0"/>
          <w:sz w:val="32"/>
          <w:szCs w:val="32"/>
        </w:rPr>
        <w:t>或者</w:t>
      </w:r>
      <w:r>
        <w:rPr>
          <w:rFonts w:hint="eastAsia" w:ascii="仿宋" w:hAnsi="仿宋" w:eastAsia="仿宋" w:cs="仿宋"/>
          <w:kern w:val="0"/>
          <w:sz w:val="32"/>
          <w:szCs w:val="32"/>
        </w:rPr>
        <w:t>其他利害关系人认为招标投标活动不符合法律、法规和规章规定的，有权依法向有关行政监督部门投诉。</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前款所称其他利害关系人是指投标人以外的，与招标项目或者招标活动有直接和间接利益关系的法人、其他组织和</w:t>
      </w:r>
      <w:r>
        <w:rPr>
          <w:rFonts w:hint="eastAsia" w:ascii="仿宋" w:hAnsi="仿宋" w:eastAsia="仿宋" w:cs="仿宋"/>
          <w:color w:val="1621E0"/>
          <w:kern w:val="0"/>
          <w:sz w:val="32"/>
          <w:szCs w:val="32"/>
          <w:lang w:val="en-US" w:eastAsia="zh-CN"/>
        </w:rPr>
        <w:t>自然人</w:t>
      </w:r>
      <w:r>
        <w:rPr>
          <w:rFonts w:hint="eastAsia" w:ascii="仿宋" w:hAnsi="仿宋" w:eastAsia="仿宋" w:cs="仿宋"/>
          <w:kern w:val="0"/>
          <w:sz w:val="32"/>
          <w:szCs w:val="32"/>
        </w:rPr>
        <w:t>。</w:t>
      </w:r>
    </w:p>
    <w:p>
      <w:pPr>
        <w:widowControl/>
        <w:spacing w:before="100" w:beforeAutospacing="1" w:after="100" w:afterAutospacing="1"/>
        <w:jc w:val="left"/>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b/>
          <w:bCs/>
          <w:kern w:val="0"/>
          <w:sz w:val="32"/>
          <w:szCs w:val="32"/>
        </w:rPr>
        <w:t>第四条</w:t>
      </w:r>
      <w:r>
        <w:rPr>
          <w:rFonts w:hint="eastAsia" w:ascii="仿宋" w:hAnsi="仿宋" w:eastAsia="仿宋" w:cs="仿宋"/>
          <w:kern w:val="0"/>
          <w:sz w:val="32"/>
          <w:szCs w:val="32"/>
        </w:rPr>
        <w:t>　</w:t>
      </w:r>
      <w:r>
        <w:rPr>
          <w:rFonts w:hint="eastAsia" w:ascii="仿宋" w:hAnsi="仿宋" w:eastAsia="仿宋" w:cs="仿宋"/>
          <w:color w:val="1621E0"/>
          <w:kern w:val="0"/>
          <w:sz w:val="32"/>
          <w:szCs w:val="32"/>
          <w:lang w:val="en-US" w:eastAsia="zh-CN"/>
        </w:rPr>
        <w:t>各级发展改革、工业和信息化、城乡住房建设、水利、交通运输、铁道、商务、民航等招标投标活动行政监督部门，</w:t>
      </w:r>
      <w:r>
        <w:rPr>
          <w:rFonts w:hint="eastAsia" w:ascii="仿宋" w:hAnsi="仿宋" w:eastAsia="仿宋" w:cs="仿宋"/>
          <w:kern w:val="0"/>
          <w:sz w:val="32"/>
          <w:szCs w:val="32"/>
        </w:rPr>
        <w:t>依照《国务院办公厅印发国务院有关部门实施招标投标活动行政监督的职责分工的意见的通知》（国办发[2000]34号）和地方各级人民政府规定的职责分工，受理投诉并依法做出处理决定。</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对国家重大建设项目（含工业项目）招标投标活动的投诉，由国家发展改革委受理并依法做出处理决定。对国家重大建设项目招标投标活动的投诉，</w:t>
      </w:r>
      <w:r>
        <w:rPr>
          <w:rFonts w:hint="eastAsia" w:ascii="仿宋" w:hAnsi="仿宋" w:eastAsia="仿宋" w:cs="仿宋"/>
          <w:color w:val="1621E0"/>
          <w:kern w:val="0"/>
          <w:sz w:val="32"/>
          <w:szCs w:val="32"/>
        </w:rPr>
        <w:t>有关行业行政监督部门已经收到的，</w:t>
      </w:r>
      <w:r>
        <w:rPr>
          <w:rFonts w:hint="eastAsia" w:ascii="仿宋" w:hAnsi="仿宋" w:eastAsia="仿宋" w:cs="仿宋"/>
          <w:kern w:val="0"/>
          <w:sz w:val="32"/>
          <w:szCs w:val="32"/>
        </w:rPr>
        <w:t>应当通报国家发展改革委，国家发展改革委不再受理。</w:t>
      </w:r>
    </w:p>
    <w:p>
      <w:pPr>
        <w:widowControl/>
        <w:spacing w:before="100" w:beforeAutospacing="1" w:after="100" w:afterAutospacing="1"/>
        <w:jc w:val="left"/>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b/>
          <w:bCs/>
          <w:kern w:val="0"/>
          <w:sz w:val="32"/>
          <w:szCs w:val="32"/>
        </w:rPr>
        <w:t>第五条</w:t>
      </w:r>
      <w:r>
        <w:rPr>
          <w:rFonts w:hint="eastAsia" w:ascii="仿宋" w:hAnsi="仿宋" w:eastAsia="仿宋" w:cs="仿宋"/>
          <w:kern w:val="0"/>
          <w:sz w:val="32"/>
          <w:szCs w:val="32"/>
        </w:rPr>
        <w:t>　行政监督部门处理投诉时，应当坚持公平、公正、高效原则，维持国家利益、社会公共利益和招标投标当事人的合法权益。</w:t>
      </w:r>
    </w:p>
    <w:p>
      <w:pPr>
        <w:widowControl/>
        <w:spacing w:before="100" w:beforeAutospacing="1" w:after="100" w:afterAutospacing="1"/>
        <w:jc w:val="left"/>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b/>
          <w:bCs/>
          <w:kern w:val="0"/>
          <w:sz w:val="32"/>
          <w:szCs w:val="32"/>
        </w:rPr>
        <w:t>第六条</w:t>
      </w:r>
      <w:r>
        <w:rPr>
          <w:rFonts w:hint="eastAsia" w:ascii="仿宋" w:hAnsi="仿宋" w:eastAsia="仿宋" w:cs="仿宋"/>
          <w:kern w:val="0"/>
          <w:sz w:val="32"/>
          <w:szCs w:val="32"/>
        </w:rPr>
        <w:t>　行政监督部门应当确定本部门内部负责受理投诉的机构及其电话、传真、电子信箱和通讯地址，并向社会公布。</w:t>
      </w:r>
    </w:p>
    <w:p>
      <w:pPr>
        <w:keepNext w:val="0"/>
        <w:keepLines w:val="0"/>
        <w:pageBreakBefore w:val="0"/>
        <w:widowControl/>
        <w:kinsoku/>
        <w:wordWrap/>
        <w:overflowPunct/>
        <w:topLinePunct w:val="0"/>
        <w:autoSpaceDE/>
        <w:autoSpaceDN/>
        <w:bidi w:val="0"/>
        <w:adjustRightInd/>
        <w:snapToGrid/>
        <w:spacing w:before="100" w:beforeAutospacing="1" w:afterAutospacing="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b/>
          <w:bCs/>
          <w:kern w:val="0"/>
          <w:sz w:val="32"/>
          <w:szCs w:val="32"/>
        </w:rPr>
        <w:t>第七条</w:t>
      </w:r>
      <w:r>
        <w:rPr>
          <w:rFonts w:hint="eastAsia" w:ascii="仿宋" w:hAnsi="仿宋" w:eastAsia="仿宋" w:cs="仿宋"/>
          <w:kern w:val="0"/>
          <w:sz w:val="32"/>
          <w:szCs w:val="32"/>
        </w:rPr>
        <w:t>　投诉人投诉时，应当提交投诉书。投诉书应当包括下列内容：</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（一）投诉人的名称、地址及有效联系方式；</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（二）被投诉人的名称、地址及有效联系方式；</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（三）投诉事项的基本事实；</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（四）相关请求及主张；</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（五）有效线索和相关证明材料。</w:t>
      </w:r>
    </w:p>
    <w:p>
      <w:pPr>
        <w:keepNext w:val="0"/>
        <w:keepLines w:val="0"/>
        <w:pageBreakBefore w:val="0"/>
        <w:widowControl/>
        <w:kinsoku/>
        <w:wordWrap/>
        <w:overflowPunct/>
        <w:topLinePunct w:val="0"/>
        <w:autoSpaceDE/>
        <w:autoSpaceDN/>
        <w:bidi w:val="0"/>
        <w:adjustRightInd/>
        <w:snapToGrid/>
        <w:spacing w:beforeAutospacing="0" w:after="100" w:afterAutospacing="1"/>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color w:val="1621E0"/>
          <w:kern w:val="0"/>
          <w:sz w:val="32"/>
          <w:szCs w:val="32"/>
        </w:rPr>
        <w:t>对招标投标法实施条例规定应先提出异议的事项进行投诉的，应当附提出异议的证明文件。已向有关行政监督部门投诉的，应当一并说明。</w:t>
      </w:r>
      <w:r>
        <w:rPr>
          <w:rFonts w:hint="eastAsia" w:ascii="仿宋" w:hAnsi="仿宋" w:eastAsia="仿宋" w:cs="仿宋"/>
          <w:color w:val="1621E0"/>
          <w:kern w:val="0"/>
          <w:sz w:val="32"/>
          <w:szCs w:val="32"/>
        </w:rPr>
        <w:br w:type="textWrapping"/>
      </w:r>
      <w:r>
        <w:rPr>
          <w:rFonts w:hint="eastAsia" w:ascii="仿宋" w:hAnsi="仿宋" w:eastAsia="仿宋" w:cs="仿宋"/>
          <w:kern w:val="0"/>
          <w:sz w:val="32"/>
          <w:szCs w:val="32"/>
        </w:rPr>
        <w:t>　　投诉人是法人的，投诉书必须由其法定代表人或者授权代表签字并盖章；其他组织或者</w:t>
      </w:r>
      <w:r>
        <w:rPr>
          <w:rFonts w:hint="eastAsia" w:ascii="仿宋" w:hAnsi="仿宋" w:eastAsia="仿宋" w:cs="仿宋"/>
          <w:color w:val="1621E0"/>
          <w:kern w:val="0"/>
          <w:sz w:val="32"/>
          <w:szCs w:val="32"/>
          <w:lang w:val="en-US" w:eastAsia="zh-CN"/>
        </w:rPr>
        <w:t>自然人</w:t>
      </w:r>
      <w:r>
        <w:rPr>
          <w:rFonts w:hint="eastAsia" w:ascii="仿宋" w:hAnsi="仿宋" w:eastAsia="仿宋" w:cs="仿宋"/>
          <w:kern w:val="0"/>
          <w:sz w:val="32"/>
          <w:szCs w:val="32"/>
        </w:rPr>
        <w:t>投诉的，投诉书必须由其主要负责人或者投诉人本人签字，并附有效身份证明复印件。</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投诉书有关材料是外文的，投诉人应当同时提供其中文译本。</w:t>
      </w:r>
    </w:p>
    <w:p>
      <w:pPr>
        <w:widowControl/>
        <w:spacing w:before="100" w:beforeAutospacing="1" w:after="100" w:afterAutospacing="1"/>
        <w:jc w:val="left"/>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b/>
          <w:bCs/>
          <w:kern w:val="0"/>
          <w:sz w:val="32"/>
          <w:szCs w:val="32"/>
        </w:rPr>
        <w:t>第八条</w:t>
      </w:r>
      <w:r>
        <w:rPr>
          <w:rFonts w:hint="eastAsia" w:ascii="仿宋" w:hAnsi="仿宋" w:eastAsia="仿宋" w:cs="仿宋"/>
          <w:kern w:val="0"/>
          <w:sz w:val="32"/>
          <w:szCs w:val="32"/>
        </w:rPr>
        <w:t>　投诉人不得以投诉为名排挤竞争对手，不得进行虚假、恶意投诉，阻碍招标投标活动的正常进行。</w:t>
      </w:r>
    </w:p>
    <w:p>
      <w:pPr>
        <w:widowControl/>
        <w:spacing w:before="100" w:beforeAutospacing="1" w:after="100" w:afterAutospacing="1"/>
        <w:jc w:val="left"/>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b/>
          <w:bCs/>
          <w:kern w:val="0"/>
          <w:sz w:val="32"/>
          <w:szCs w:val="32"/>
        </w:rPr>
        <w:t>第九条</w:t>
      </w:r>
      <w:r>
        <w:rPr>
          <w:rFonts w:hint="eastAsia" w:ascii="仿宋" w:hAnsi="仿宋" w:eastAsia="仿宋" w:cs="仿宋"/>
          <w:kern w:val="0"/>
          <w:sz w:val="32"/>
          <w:szCs w:val="32"/>
        </w:rPr>
        <w:t>　</w:t>
      </w:r>
      <w:r>
        <w:rPr>
          <w:rFonts w:hint="eastAsia" w:ascii="仿宋" w:hAnsi="仿宋" w:eastAsia="仿宋" w:cs="仿宋"/>
          <w:color w:val="1621E0"/>
          <w:kern w:val="0"/>
          <w:sz w:val="32"/>
          <w:szCs w:val="32"/>
        </w:rPr>
        <w:t>投诉人认为招标投标活动不符合法律行政法规规定的，可以在知道或者应当知道之日起十日内提出书面投诉。依照有关行政法规提出异议的，异议答复期间不计算在内。</w:t>
      </w:r>
    </w:p>
    <w:p>
      <w:pPr>
        <w:widowControl/>
        <w:spacing w:before="100" w:beforeAutospacing="1" w:after="100" w:afterAutospacing="1"/>
        <w:jc w:val="left"/>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b/>
          <w:bCs/>
          <w:kern w:val="0"/>
          <w:sz w:val="32"/>
          <w:szCs w:val="32"/>
        </w:rPr>
        <w:t>第十条</w:t>
      </w:r>
      <w:r>
        <w:rPr>
          <w:rFonts w:hint="eastAsia" w:ascii="仿宋" w:hAnsi="仿宋" w:eastAsia="仿宋" w:cs="仿宋"/>
          <w:kern w:val="0"/>
          <w:sz w:val="32"/>
          <w:szCs w:val="32"/>
        </w:rPr>
        <w:t>　</w:t>
      </w:r>
      <w:r>
        <w:rPr>
          <w:rFonts w:hint="eastAsia" w:ascii="仿宋" w:hAnsi="仿宋" w:eastAsia="仿宋" w:cs="仿宋"/>
          <w:color w:val="1621E0"/>
          <w:kern w:val="0"/>
          <w:sz w:val="32"/>
          <w:szCs w:val="32"/>
        </w:rPr>
        <w:t>投诉人可以自己直接投诉</w:t>
      </w:r>
      <w:r>
        <w:rPr>
          <w:rFonts w:hint="eastAsia" w:ascii="仿宋" w:hAnsi="仿宋" w:eastAsia="仿宋" w:cs="仿宋"/>
          <w:kern w:val="0"/>
          <w:sz w:val="32"/>
          <w:szCs w:val="32"/>
        </w:rPr>
        <w:t>，也可以委托代理人办理投诉事务。代理人办理投诉事务时，应将授权委托书连同投诉书一并提交给行政监督部门。授权委托书应当明确有关委托代理权限和事项。</w:t>
      </w:r>
    </w:p>
    <w:p>
      <w:pPr>
        <w:widowControl/>
        <w:spacing w:before="100" w:beforeAutospacing="1" w:after="100" w:afterAutospacing="1"/>
        <w:jc w:val="left"/>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b/>
          <w:bCs/>
          <w:kern w:val="0"/>
          <w:sz w:val="32"/>
          <w:szCs w:val="32"/>
        </w:rPr>
        <w:t>第十一条</w:t>
      </w:r>
      <w:r>
        <w:rPr>
          <w:rFonts w:hint="eastAsia" w:ascii="仿宋" w:hAnsi="仿宋" w:eastAsia="仿宋" w:cs="仿宋"/>
          <w:kern w:val="0"/>
          <w:sz w:val="32"/>
          <w:szCs w:val="32"/>
        </w:rPr>
        <w:t>　行政监督部门收到投诉书后，应当在</w:t>
      </w:r>
      <w:r>
        <w:rPr>
          <w:rFonts w:hint="eastAsia" w:ascii="仿宋" w:hAnsi="仿宋" w:eastAsia="仿宋" w:cs="仿宋"/>
          <w:color w:val="1621E0"/>
          <w:kern w:val="0"/>
          <w:sz w:val="32"/>
          <w:szCs w:val="32"/>
        </w:rPr>
        <w:t>三个工作日</w:t>
      </w:r>
      <w:r>
        <w:rPr>
          <w:rFonts w:hint="eastAsia" w:ascii="仿宋" w:hAnsi="仿宋" w:eastAsia="仿宋" w:cs="仿宋"/>
          <w:kern w:val="0"/>
          <w:sz w:val="32"/>
          <w:szCs w:val="32"/>
        </w:rPr>
        <w:t>内进行审查，视情况分别做出以下处理决定。</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（一）不符合投诉处理条件的，决定不予受理，并将不予受理的理由书面告知投诉人；</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（二）对符合投诉处理条件，但不属于本部门受理的投诉，书面告知投诉人向其他行政监督部门提出投诉；</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对于符合投诉处理条件并决定受理的，收到投诉书之日即为正式受理。</w:t>
      </w:r>
    </w:p>
    <w:p>
      <w:pPr>
        <w:widowControl/>
        <w:spacing w:before="100" w:beforeAutospacing="1" w:after="100" w:afterAutospacing="1"/>
        <w:jc w:val="left"/>
        <w:rPr>
          <w:rFonts w:hint="eastAsia" w:ascii="仿宋" w:hAnsi="仿宋" w:eastAsia="仿宋" w:cs="仿宋"/>
          <w:color w:val="1621E0"/>
          <w:kern w:val="0"/>
          <w:sz w:val="32"/>
          <w:szCs w:val="32"/>
        </w:rPr>
      </w:pPr>
      <w:r>
        <w:rPr>
          <w:rFonts w:hint="eastAsia" w:ascii="仿宋" w:hAnsi="仿宋" w:eastAsia="仿宋" w:cs="仿宋"/>
          <w:kern w:val="0"/>
          <w:sz w:val="32"/>
          <w:szCs w:val="32"/>
        </w:rPr>
        <w:t>　　</w:t>
      </w:r>
      <w:r>
        <w:rPr>
          <w:rFonts w:hint="eastAsia" w:ascii="仿宋" w:hAnsi="仿宋" w:eastAsia="仿宋" w:cs="仿宋"/>
          <w:b/>
          <w:bCs/>
          <w:kern w:val="0"/>
          <w:sz w:val="32"/>
          <w:szCs w:val="32"/>
        </w:rPr>
        <w:t>第十二条</w:t>
      </w:r>
      <w:r>
        <w:rPr>
          <w:rFonts w:hint="eastAsia" w:ascii="仿宋" w:hAnsi="仿宋" w:eastAsia="仿宋" w:cs="仿宋"/>
          <w:kern w:val="0"/>
          <w:sz w:val="32"/>
          <w:szCs w:val="32"/>
        </w:rPr>
        <w:t>　有下列情形之一的投诉，不予受理；</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（一）投诉人不是所投诉招标投标活动的参与者，或者与投诉项目无任何利害关系；</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（二）投诉事项不具体，且未提供有效线索，难以查证的；</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（三）投诉书未署具投诉人真实姓名、签字和有效联系方式的；以法人名义投诉的，投诉书未经法定代表人签字并加盖公章的；</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（四）超过投诉时效的；</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（五）已经作出处理决定，并且投诉人没有提出新的证据；</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（六）</w:t>
      </w:r>
      <w:r>
        <w:rPr>
          <w:rFonts w:hint="eastAsia" w:ascii="仿宋" w:hAnsi="仿宋" w:eastAsia="仿宋" w:cs="仿宋"/>
          <w:color w:val="1621E0"/>
          <w:kern w:val="0"/>
          <w:sz w:val="32"/>
          <w:szCs w:val="32"/>
        </w:rPr>
        <w:t>投诉事项应先提出异议没有提出异议</w:t>
      </w:r>
      <w:r>
        <w:rPr>
          <w:rFonts w:hint="eastAsia" w:ascii="仿宋" w:hAnsi="仿宋" w:eastAsia="仿宋" w:cs="仿宋"/>
          <w:color w:val="1621E0"/>
          <w:kern w:val="0"/>
          <w:sz w:val="32"/>
          <w:szCs w:val="32"/>
          <w:lang w:eastAsia="zh-CN"/>
        </w:rPr>
        <w:t>、</w:t>
      </w:r>
      <w:r>
        <w:rPr>
          <w:rFonts w:hint="eastAsia" w:ascii="仿宋" w:hAnsi="仿宋" w:eastAsia="仿宋" w:cs="仿宋"/>
          <w:color w:val="1621E0"/>
          <w:kern w:val="0"/>
          <w:sz w:val="32"/>
          <w:szCs w:val="32"/>
        </w:rPr>
        <w:t>已进入行政复议或行政诉讼程序的。</w:t>
      </w:r>
    </w:p>
    <w:p>
      <w:pPr>
        <w:widowControl/>
        <w:spacing w:before="100" w:beforeAutospacing="1" w:after="100" w:afterAutospacing="1"/>
        <w:jc w:val="left"/>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b/>
          <w:bCs/>
          <w:kern w:val="0"/>
          <w:sz w:val="32"/>
          <w:szCs w:val="32"/>
        </w:rPr>
        <w:t>第十三条</w:t>
      </w:r>
      <w:r>
        <w:rPr>
          <w:rFonts w:hint="eastAsia" w:ascii="仿宋" w:hAnsi="仿宋" w:eastAsia="仿宋" w:cs="仿宋"/>
          <w:kern w:val="0"/>
          <w:sz w:val="32"/>
          <w:szCs w:val="32"/>
        </w:rPr>
        <w:t>　行政监督部门负责投诉处理的工作人员，有下列情形之一的，应当主动回避：</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（一）近亲属是被投诉人、投诉人，或者是被投诉人、投诉人的主要负责人；</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（二）在近三年内本人曾经在被投诉人单位担任高级管理职务；</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（三）与被投诉人、投诉人有其他利害关系，可能影响对投诉事项公正处理的。</w:t>
      </w:r>
    </w:p>
    <w:p>
      <w:pPr>
        <w:widowControl/>
        <w:spacing w:before="100" w:beforeAutospacing="1" w:after="100" w:afterAutospacing="1"/>
        <w:jc w:val="left"/>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b/>
          <w:bCs/>
          <w:kern w:val="0"/>
          <w:sz w:val="32"/>
          <w:szCs w:val="32"/>
        </w:rPr>
        <w:t>第十四条</w:t>
      </w:r>
      <w:r>
        <w:rPr>
          <w:rFonts w:hint="eastAsia" w:ascii="仿宋" w:hAnsi="仿宋" w:eastAsia="仿宋" w:cs="仿宋"/>
          <w:kern w:val="0"/>
          <w:sz w:val="32"/>
          <w:szCs w:val="32"/>
        </w:rPr>
        <w:t>　行政监督部门受理投诉后，应当调取、查阅有关文件，调查、核实有关情况。</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对情况复杂、涉及面广的重大投诉事项，有权受理投诉的行政监督部门可以会同其他有关的行政监督部门进行联合调查，共同研究后由受理部门做出处理决定。</w:t>
      </w:r>
    </w:p>
    <w:p>
      <w:pPr>
        <w:widowControl/>
        <w:spacing w:before="100" w:beforeAutospacing="1" w:after="100" w:afterAutospacing="1"/>
        <w:jc w:val="left"/>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b/>
          <w:bCs/>
          <w:kern w:val="0"/>
          <w:sz w:val="32"/>
          <w:szCs w:val="32"/>
        </w:rPr>
        <w:t>第十五条</w:t>
      </w:r>
      <w:r>
        <w:rPr>
          <w:rFonts w:hint="eastAsia" w:ascii="仿宋" w:hAnsi="仿宋" w:eastAsia="仿宋" w:cs="仿宋"/>
          <w:kern w:val="0"/>
          <w:sz w:val="32"/>
          <w:szCs w:val="32"/>
        </w:rPr>
        <w:t>　行政监督部门调查取证时，应当由两名以上行政执法人员进行，并做笔录，交被调查人签字确认。</w:t>
      </w:r>
    </w:p>
    <w:p>
      <w:pPr>
        <w:widowControl/>
        <w:spacing w:before="100" w:beforeAutospacing="1" w:after="100" w:afterAutospacing="1"/>
        <w:jc w:val="left"/>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b/>
          <w:bCs/>
          <w:kern w:val="0"/>
          <w:sz w:val="32"/>
          <w:szCs w:val="32"/>
        </w:rPr>
        <w:t>第十六条</w:t>
      </w:r>
      <w:r>
        <w:rPr>
          <w:rFonts w:hint="eastAsia" w:ascii="仿宋" w:hAnsi="仿宋" w:eastAsia="仿宋" w:cs="仿宋"/>
          <w:kern w:val="0"/>
          <w:sz w:val="32"/>
          <w:szCs w:val="32"/>
        </w:rPr>
        <w:t>　在投诉处理过程中，行政监督部门应当听取被投诉人的陈述和申辩，必要时可通知投诉人和被投诉人进行质证。</w:t>
      </w:r>
    </w:p>
    <w:p>
      <w:pPr>
        <w:widowControl/>
        <w:spacing w:before="100" w:beforeAutospacing="1" w:after="100" w:afterAutospacing="1"/>
        <w:jc w:val="left"/>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b/>
          <w:bCs/>
          <w:kern w:val="0"/>
          <w:sz w:val="32"/>
          <w:szCs w:val="32"/>
        </w:rPr>
        <w:t>第十七条</w:t>
      </w:r>
      <w:r>
        <w:rPr>
          <w:rFonts w:hint="eastAsia" w:ascii="仿宋" w:hAnsi="仿宋" w:eastAsia="仿宋" w:cs="仿宋"/>
          <w:kern w:val="0"/>
          <w:sz w:val="32"/>
          <w:szCs w:val="32"/>
        </w:rPr>
        <w:t>　行政监督部门负责处理投诉的人员应当严格遵守保密规定，对于在投诉处理过程中所接触到的国家秘密、商业秘密应当予以保密，也不得将投诉事项透露给与投诉无关的其他单位和个人。</w:t>
      </w:r>
    </w:p>
    <w:p>
      <w:pPr>
        <w:widowControl/>
        <w:spacing w:before="100" w:beforeAutospacing="1" w:after="100" w:afterAutospacing="1"/>
        <w:jc w:val="left"/>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b/>
          <w:bCs/>
          <w:kern w:val="0"/>
          <w:sz w:val="32"/>
          <w:szCs w:val="32"/>
        </w:rPr>
        <w:t>第十八条</w:t>
      </w:r>
      <w:r>
        <w:rPr>
          <w:rFonts w:hint="eastAsia" w:ascii="仿宋" w:hAnsi="仿宋" w:eastAsia="仿宋" w:cs="仿宋"/>
          <w:kern w:val="0"/>
          <w:sz w:val="32"/>
          <w:szCs w:val="32"/>
        </w:rPr>
        <w:t>　</w:t>
      </w:r>
      <w:r>
        <w:rPr>
          <w:rFonts w:hint="eastAsia" w:ascii="仿宋" w:hAnsi="仿宋" w:eastAsia="仿宋" w:cs="仿宋"/>
          <w:color w:val="1621E0"/>
          <w:kern w:val="0"/>
          <w:sz w:val="32"/>
          <w:szCs w:val="32"/>
        </w:rPr>
        <w:t>行政监督部门处理投诉，有权查阅、复制有关文件、资料，调查有关情况，相关单位和人员应当予以配合。必要时，行政监督部门可以责令暂停招标投标活动。</w:t>
      </w:r>
    </w:p>
    <w:p>
      <w:pPr>
        <w:widowControl/>
        <w:spacing w:before="100" w:beforeAutospacing="1" w:after="100" w:afterAutospacing="1"/>
        <w:jc w:val="left"/>
        <w:rPr>
          <w:rFonts w:hint="eastAsia" w:ascii="仿宋" w:hAnsi="仿宋" w:eastAsia="仿宋" w:cs="仿宋"/>
          <w:kern w:val="0"/>
          <w:sz w:val="32"/>
          <w:szCs w:val="32"/>
        </w:rPr>
      </w:pPr>
      <w:r>
        <w:rPr>
          <w:rFonts w:hint="eastAsia" w:ascii="仿宋" w:hAnsi="仿宋" w:eastAsia="仿宋" w:cs="仿宋"/>
          <w:kern w:val="0"/>
          <w:sz w:val="32"/>
          <w:szCs w:val="32"/>
        </w:rPr>
        <w:t>　　对行政监督部门依法进行的调查，投诉人、被投诉人以及评标委员会成员等与投诉事项有关的当事人应当予以配合，如实提供有关资料及情况，不得拒绝、隐匿或者伪报。</w:t>
      </w:r>
    </w:p>
    <w:p>
      <w:pPr>
        <w:widowControl/>
        <w:spacing w:before="100" w:beforeAutospacing="1" w:after="100" w:afterAutospacing="1"/>
        <w:jc w:val="left"/>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b/>
          <w:bCs/>
          <w:kern w:val="0"/>
          <w:sz w:val="32"/>
          <w:szCs w:val="32"/>
        </w:rPr>
        <w:t>第十九条</w:t>
      </w:r>
      <w:r>
        <w:rPr>
          <w:rFonts w:hint="eastAsia" w:ascii="仿宋" w:hAnsi="仿宋" w:eastAsia="仿宋" w:cs="仿宋"/>
          <w:kern w:val="0"/>
          <w:sz w:val="32"/>
          <w:szCs w:val="32"/>
        </w:rPr>
        <w:t>　投诉处理决定做出前，投诉人要求撤回投诉的，应当以书面形式提出并说明理由，由行政监督部门视以下情况，决定是否准予撤回；</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（一）已经查实有明显违法行为的，应当不准撤回，并继续调查直至做出处理决定；</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（二）撤回投诉不损害国家利益、社会公共利益或者其他当事人合法权益的，应当准予撤回，投诉处理过程终止。投诉人不得以同一事实和理由再提出投诉。</w:t>
      </w:r>
    </w:p>
    <w:p>
      <w:pPr>
        <w:widowControl/>
        <w:spacing w:before="100" w:beforeAutospacing="1" w:after="100" w:afterAutospacing="1"/>
        <w:jc w:val="left"/>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b/>
          <w:bCs/>
          <w:kern w:val="0"/>
          <w:sz w:val="32"/>
          <w:szCs w:val="32"/>
        </w:rPr>
        <w:t>第二十条</w:t>
      </w:r>
      <w:r>
        <w:rPr>
          <w:rFonts w:hint="eastAsia" w:ascii="仿宋" w:hAnsi="仿宋" w:eastAsia="仿宋" w:cs="仿宋"/>
          <w:kern w:val="0"/>
          <w:sz w:val="32"/>
          <w:szCs w:val="32"/>
        </w:rPr>
        <w:t>　行政监督部门应当根据调查和取证情况，对投诉事项进行审查，按照下列规定做出处理决定：</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（一）</w:t>
      </w:r>
      <w:r>
        <w:rPr>
          <w:rFonts w:hint="eastAsia" w:ascii="仿宋" w:hAnsi="仿宋" w:eastAsia="仿宋" w:cs="仿宋"/>
          <w:color w:val="1621E0"/>
          <w:kern w:val="0"/>
          <w:sz w:val="32"/>
          <w:szCs w:val="32"/>
        </w:rPr>
        <w:t>投诉缺乏事实根据或者法律依据的，或者投诉人捏造事实、伪造材料或者以非法手段取得证明材料进行投诉的，驳回投诉；</w:t>
      </w:r>
      <w:r>
        <w:rPr>
          <w:rFonts w:hint="eastAsia" w:ascii="仿宋" w:hAnsi="仿宋" w:eastAsia="仿宋" w:cs="仿宋"/>
          <w:color w:val="1621E0"/>
          <w:kern w:val="0"/>
          <w:sz w:val="32"/>
          <w:szCs w:val="32"/>
        </w:rPr>
        <w:br w:type="textWrapping"/>
      </w:r>
      <w:r>
        <w:rPr>
          <w:rFonts w:hint="eastAsia" w:ascii="仿宋" w:hAnsi="仿宋" w:eastAsia="仿宋" w:cs="仿宋"/>
          <w:kern w:val="0"/>
          <w:sz w:val="32"/>
          <w:szCs w:val="32"/>
        </w:rPr>
        <w:t xml:space="preserve">　　（二）投诉情况属实，招标投标活动确实存在违法行为的，依据《中华人民共和国招标投标法》、 </w:t>
      </w:r>
      <w:r>
        <w:rPr>
          <w:rFonts w:hint="eastAsia" w:ascii="仿宋" w:hAnsi="仿宋" w:eastAsia="仿宋" w:cs="仿宋"/>
          <w:color w:val="1621E0"/>
          <w:kern w:val="0"/>
          <w:sz w:val="32"/>
          <w:szCs w:val="32"/>
        </w:rPr>
        <w:t>《中华人民共和国招标投标法实施条例》</w:t>
      </w:r>
      <w:r>
        <w:rPr>
          <w:rFonts w:hint="eastAsia" w:ascii="仿宋" w:hAnsi="仿宋" w:eastAsia="仿宋" w:cs="仿宋"/>
          <w:kern w:val="0"/>
          <w:sz w:val="32"/>
          <w:szCs w:val="32"/>
        </w:rPr>
        <w:t>及其他有关法规、规章做出处罚。</w:t>
      </w:r>
    </w:p>
    <w:p>
      <w:pPr>
        <w:widowControl/>
        <w:spacing w:before="100" w:beforeAutospacing="1" w:after="100" w:afterAutospacing="1"/>
        <w:jc w:val="left"/>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b/>
          <w:bCs/>
          <w:kern w:val="0"/>
          <w:sz w:val="32"/>
          <w:szCs w:val="32"/>
        </w:rPr>
        <w:t>第二十一条</w:t>
      </w:r>
      <w:r>
        <w:rPr>
          <w:rFonts w:hint="eastAsia" w:ascii="仿宋" w:hAnsi="仿宋" w:eastAsia="仿宋" w:cs="仿宋"/>
          <w:kern w:val="0"/>
          <w:sz w:val="32"/>
          <w:szCs w:val="32"/>
        </w:rPr>
        <w:t>　</w:t>
      </w:r>
      <w:r>
        <w:rPr>
          <w:rFonts w:hint="eastAsia" w:ascii="仿宋" w:hAnsi="仿宋" w:eastAsia="仿宋" w:cs="仿宋"/>
          <w:color w:val="1621E0"/>
          <w:kern w:val="0"/>
          <w:sz w:val="32"/>
          <w:szCs w:val="32"/>
        </w:rPr>
        <w:t>负责受理投诉的行政监督部门应当自受理投诉之日起三十个工作日内，对投诉事项做出处理决定，并以书面形式通知投诉人、被投诉人和其他与投诉处理结果有关的当事人。需要检验、检测、鉴定、专家评审的，所需时间不计算在内。</w:t>
      </w:r>
    </w:p>
    <w:p>
      <w:pPr>
        <w:widowControl/>
        <w:spacing w:before="100" w:beforeAutospacing="1" w:after="100" w:afterAutospacing="1"/>
        <w:jc w:val="left"/>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b/>
          <w:bCs/>
          <w:kern w:val="0"/>
          <w:sz w:val="32"/>
          <w:szCs w:val="32"/>
        </w:rPr>
        <w:t>第二十二条</w:t>
      </w:r>
      <w:r>
        <w:rPr>
          <w:rFonts w:hint="eastAsia" w:ascii="仿宋" w:hAnsi="仿宋" w:eastAsia="仿宋" w:cs="仿宋"/>
          <w:kern w:val="0"/>
          <w:sz w:val="32"/>
          <w:szCs w:val="32"/>
        </w:rPr>
        <w:t>　投诉处理决定应当包括下列主要内容：</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（一）投诉人和被投诉人的名称、住址；</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（二）投诉人的投诉事项及主张；</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（三）被投诉人的答辩及请求；</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（四）调查认定的基本事实；</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（五）行政监督部门的处理意见及依据。</w:t>
      </w:r>
    </w:p>
    <w:p>
      <w:pPr>
        <w:widowControl/>
        <w:spacing w:before="100" w:beforeAutospacing="1" w:after="100" w:afterAutospacing="1"/>
        <w:jc w:val="left"/>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b/>
          <w:bCs/>
          <w:kern w:val="0"/>
          <w:sz w:val="32"/>
          <w:szCs w:val="32"/>
        </w:rPr>
        <w:t>第二十三条</w:t>
      </w:r>
      <w:r>
        <w:rPr>
          <w:rFonts w:hint="eastAsia" w:ascii="仿宋" w:hAnsi="仿宋" w:eastAsia="仿宋" w:cs="仿宋"/>
          <w:kern w:val="0"/>
          <w:sz w:val="32"/>
          <w:szCs w:val="32"/>
        </w:rPr>
        <w:t>　行政监督部门应当建立投诉处理档案，并做好保存和管理工作，接受有关方面的监督检查。</w:t>
      </w:r>
    </w:p>
    <w:p>
      <w:pPr>
        <w:widowControl/>
        <w:spacing w:before="100" w:beforeAutospacing="1" w:after="100" w:afterAutospacing="1"/>
        <w:jc w:val="left"/>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b/>
          <w:bCs/>
          <w:kern w:val="0"/>
          <w:sz w:val="32"/>
          <w:szCs w:val="32"/>
        </w:rPr>
        <w:t>第二十四条</w:t>
      </w:r>
      <w:r>
        <w:rPr>
          <w:rFonts w:hint="eastAsia" w:ascii="仿宋" w:hAnsi="仿宋" w:eastAsia="仿宋" w:cs="仿宋"/>
          <w:kern w:val="0"/>
          <w:sz w:val="32"/>
          <w:szCs w:val="32"/>
        </w:rPr>
        <w:t>　行政监督部门在处理投诉过程中，发现被投诉人单位直接负责的主管人员和其他直接责任人员有违法、违规或者违纪行为的，应当建议其行政主管机关、纪检监察部门给予处分；情节严重构成犯罪的，移送司法机关处理。</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对招标代理机构有违法行为，且情节严重的，依法暂停直至取消招标代理资格。</w:t>
      </w:r>
    </w:p>
    <w:p>
      <w:pPr>
        <w:widowControl/>
        <w:spacing w:before="100" w:beforeAutospacing="1" w:after="100" w:afterAutospacing="1"/>
        <w:jc w:val="left"/>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b/>
          <w:bCs/>
          <w:kern w:val="0"/>
          <w:sz w:val="32"/>
          <w:szCs w:val="32"/>
        </w:rPr>
        <w:t>第二十五条</w:t>
      </w:r>
      <w:r>
        <w:rPr>
          <w:rFonts w:hint="eastAsia" w:ascii="仿宋" w:hAnsi="仿宋" w:eastAsia="仿宋" w:cs="仿宋"/>
          <w:kern w:val="0"/>
          <w:sz w:val="32"/>
          <w:szCs w:val="32"/>
        </w:rPr>
        <w:t>　当事人对行政监督部门的投诉处理决定不服或者行政监督部门逾期未做处理的，可以依法申请行政复议或者向人民法院提起行政诉讼。</w:t>
      </w:r>
    </w:p>
    <w:p>
      <w:pPr>
        <w:widowControl/>
        <w:spacing w:before="100" w:beforeAutospacing="1" w:after="100" w:afterAutospacing="1"/>
        <w:jc w:val="left"/>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b/>
          <w:bCs/>
          <w:kern w:val="0"/>
          <w:sz w:val="32"/>
          <w:szCs w:val="32"/>
        </w:rPr>
        <w:t>第二十六条</w:t>
      </w:r>
      <w:r>
        <w:rPr>
          <w:rFonts w:hint="eastAsia" w:ascii="仿宋" w:hAnsi="仿宋" w:eastAsia="仿宋" w:cs="仿宋"/>
          <w:kern w:val="0"/>
          <w:sz w:val="32"/>
          <w:szCs w:val="32"/>
        </w:rPr>
        <w:t>　</w:t>
      </w:r>
      <w:r>
        <w:rPr>
          <w:rFonts w:hint="eastAsia" w:ascii="仿宋" w:hAnsi="仿宋" w:eastAsia="仿宋" w:cs="仿宋"/>
          <w:color w:val="1621E0"/>
          <w:kern w:val="0"/>
          <w:sz w:val="32"/>
          <w:szCs w:val="32"/>
        </w:rPr>
        <w:t>投诉人故意捏造事实、伪造证明材料或者以非法手段取得证明材料进行投诉，给他人造成损失的，依法承担赔偿责任。</w:t>
      </w:r>
    </w:p>
    <w:p>
      <w:pPr>
        <w:widowControl/>
        <w:spacing w:before="100" w:beforeAutospacing="1" w:after="100" w:afterAutospacing="1"/>
        <w:jc w:val="left"/>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b/>
          <w:bCs/>
          <w:kern w:val="0"/>
          <w:sz w:val="32"/>
          <w:szCs w:val="32"/>
        </w:rPr>
        <w:t>第二十七条</w:t>
      </w:r>
      <w:r>
        <w:rPr>
          <w:rFonts w:hint="eastAsia" w:ascii="仿宋" w:hAnsi="仿宋" w:eastAsia="仿宋" w:cs="仿宋"/>
          <w:kern w:val="0"/>
          <w:sz w:val="32"/>
          <w:szCs w:val="32"/>
        </w:rPr>
        <w:t>　行政监督部门工作人员在处理投诉过程中徇私舞弊、滥用职权或者玩忽职守，对投诉人打击报复的，依法给予行政处分；构成犯罪的，依法追究刑事责任。</w:t>
      </w:r>
    </w:p>
    <w:p>
      <w:pPr>
        <w:widowControl/>
        <w:spacing w:before="100" w:beforeAutospacing="1" w:after="100" w:afterAutospacing="1"/>
        <w:jc w:val="left"/>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b/>
          <w:bCs/>
          <w:kern w:val="0"/>
          <w:sz w:val="32"/>
          <w:szCs w:val="32"/>
        </w:rPr>
        <w:t>第二十八条</w:t>
      </w:r>
      <w:r>
        <w:rPr>
          <w:rFonts w:hint="eastAsia" w:ascii="仿宋" w:hAnsi="仿宋" w:eastAsia="仿宋" w:cs="仿宋"/>
          <w:kern w:val="0"/>
          <w:sz w:val="32"/>
          <w:szCs w:val="32"/>
        </w:rPr>
        <w:t>　行政监督部门在处理投诉过程中，不得向投诉人和被投诉人收取任何费用。</w:t>
      </w:r>
    </w:p>
    <w:p>
      <w:pPr>
        <w:widowControl/>
        <w:spacing w:before="100" w:beforeAutospacing="1" w:after="100" w:afterAutospacing="1"/>
        <w:jc w:val="left"/>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b/>
          <w:bCs/>
          <w:kern w:val="0"/>
          <w:sz w:val="32"/>
          <w:szCs w:val="32"/>
        </w:rPr>
        <w:t>第二十九条</w:t>
      </w:r>
      <w:r>
        <w:rPr>
          <w:rFonts w:hint="eastAsia" w:ascii="仿宋" w:hAnsi="仿宋" w:eastAsia="仿宋" w:cs="仿宋"/>
          <w:kern w:val="0"/>
          <w:sz w:val="32"/>
          <w:szCs w:val="32"/>
        </w:rPr>
        <w:t>　对于性质恶劣、情节严重的投诉事项，行政监督部门可以将投诉处理结果在有关媒体上公布，接受舆论和公众监督。</w:t>
      </w:r>
    </w:p>
    <w:p>
      <w:pPr>
        <w:widowControl/>
        <w:spacing w:before="100" w:beforeAutospacing="1" w:after="100" w:afterAutospacing="1"/>
        <w:jc w:val="left"/>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b/>
          <w:bCs/>
          <w:kern w:val="0"/>
          <w:sz w:val="32"/>
          <w:szCs w:val="32"/>
        </w:rPr>
        <w:t>第三十条</w:t>
      </w:r>
      <w:r>
        <w:rPr>
          <w:rFonts w:hint="eastAsia" w:ascii="仿宋" w:hAnsi="仿宋" w:eastAsia="仿宋" w:cs="仿宋"/>
          <w:kern w:val="0"/>
          <w:sz w:val="32"/>
          <w:szCs w:val="32"/>
        </w:rPr>
        <w:t>　本办法由国家发展改革委会同国务院有关部门解释。</w:t>
      </w:r>
    </w:p>
    <w:p>
      <w:pPr>
        <w:widowControl/>
        <w:spacing w:before="100" w:beforeAutospacing="1" w:after="100" w:afterAutospacing="1"/>
        <w:jc w:val="left"/>
        <w:rPr>
          <w:rFonts w:hint="eastAsia" w:ascii="仿宋" w:hAnsi="仿宋" w:eastAsia="仿宋" w:cs="仿宋"/>
          <w:kern w:val="0"/>
          <w:sz w:val="32"/>
          <w:szCs w:val="32"/>
        </w:rPr>
      </w:pPr>
      <w:r>
        <w:rPr>
          <w:rFonts w:hint="eastAsia" w:ascii="仿宋" w:hAnsi="仿宋" w:eastAsia="仿宋" w:cs="仿宋"/>
          <w:kern w:val="0"/>
          <w:sz w:val="32"/>
          <w:szCs w:val="32"/>
        </w:rPr>
        <w:t>　　</w:t>
      </w:r>
      <w:r>
        <w:rPr>
          <w:rFonts w:hint="eastAsia" w:ascii="仿宋" w:hAnsi="仿宋" w:eastAsia="仿宋" w:cs="仿宋"/>
          <w:b/>
          <w:bCs/>
          <w:kern w:val="0"/>
          <w:sz w:val="32"/>
          <w:szCs w:val="32"/>
        </w:rPr>
        <w:t>第三十一条</w:t>
      </w:r>
      <w:r>
        <w:rPr>
          <w:rFonts w:hint="eastAsia" w:ascii="仿宋" w:hAnsi="仿宋" w:eastAsia="仿宋" w:cs="仿宋"/>
          <w:kern w:val="0"/>
          <w:sz w:val="32"/>
          <w:szCs w:val="32"/>
        </w:rPr>
        <w:t>　本办法自2004年8月1日起施行。</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20"/>
    <w:rsid w:val="00001467"/>
    <w:rsid w:val="00005F44"/>
    <w:rsid w:val="00016ACD"/>
    <w:rsid w:val="00021810"/>
    <w:rsid w:val="00021CF9"/>
    <w:rsid w:val="00023479"/>
    <w:rsid w:val="00041269"/>
    <w:rsid w:val="000520CE"/>
    <w:rsid w:val="00072CE6"/>
    <w:rsid w:val="00087126"/>
    <w:rsid w:val="000901DD"/>
    <w:rsid w:val="00091D18"/>
    <w:rsid w:val="000C73A1"/>
    <w:rsid w:val="000D214B"/>
    <w:rsid w:val="000D6302"/>
    <w:rsid w:val="000E22F7"/>
    <w:rsid w:val="00102D8F"/>
    <w:rsid w:val="00111F05"/>
    <w:rsid w:val="00125C06"/>
    <w:rsid w:val="00133D3E"/>
    <w:rsid w:val="0014374B"/>
    <w:rsid w:val="00147B63"/>
    <w:rsid w:val="00153A8D"/>
    <w:rsid w:val="00161817"/>
    <w:rsid w:val="00175CBB"/>
    <w:rsid w:val="00180E61"/>
    <w:rsid w:val="001847B2"/>
    <w:rsid w:val="00184B06"/>
    <w:rsid w:val="001853D3"/>
    <w:rsid w:val="001A6834"/>
    <w:rsid w:val="001B1D80"/>
    <w:rsid w:val="001D5A19"/>
    <w:rsid w:val="001E7E28"/>
    <w:rsid w:val="001F2861"/>
    <w:rsid w:val="002102B8"/>
    <w:rsid w:val="0023127C"/>
    <w:rsid w:val="00251F2E"/>
    <w:rsid w:val="00274542"/>
    <w:rsid w:val="0028605F"/>
    <w:rsid w:val="00290D5A"/>
    <w:rsid w:val="00293087"/>
    <w:rsid w:val="002A5050"/>
    <w:rsid w:val="002E57BE"/>
    <w:rsid w:val="002F3AB2"/>
    <w:rsid w:val="002F6767"/>
    <w:rsid w:val="002F7AD1"/>
    <w:rsid w:val="00316872"/>
    <w:rsid w:val="0033230E"/>
    <w:rsid w:val="00344185"/>
    <w:rsid w:val="003475AA"/>
    <w:rsid w:val="0034774C"/>
    <w:rsid w:val="00350DF2"/>
    <w:rsid w:val="00353540"/>
    <w:rsid w:val="003561F9"/>
    <w:rsid w:val="003645B7"/>
    <w:rsid w:val="00370CD0"/>
    <w:rsid w:val="003762F1"/>
    <w:rsid w:val="0038244C"/>
    <w:rsid w:val="003A19BE"/>
    <w:rsid w:val="003C27C3"/>
    <w:rsid w:val="003E4539"/>
    <w:rsid w:val="003F40EA"/>
    <w:rsid w:val="003F4820"/>
    <w:rsid w:val="003F48B5"/>
    <w:rsid w:val="003F5A5B"/>
    <w:rsid w:val="003F70DA"/>
    <w:rsid w:val="00407055"/>
    <w:rsid w:val="00407612"/>
    <w:rsid w:val="00412529"/>
    <w:rsid w:val="00423760"/>
    <w:rsid w:val="0043227F"/>
    <w:rsid w:val="00442F4A"/>
    <w:rsid w:val="0044345B"/>
    <w:rsid w:val="004631F3"/>
    <w:rsid w:val="00473F2B"/>
    <w:rsid w:val="00477C3D"/>
    <w:rsid w:val="004C3CB4"/>
    <w:rsid w:val="004C6DF3"/>
    <w:rsid w:val="004E047C"/>
    <w:rsid w:val="004F0186"/>
    <w:rsid w:val="004F49BA"/>
    <w:rsid w:val="00526405"/>
    <w:rsid w:val="005329E6"/>
    <w:rsid w:val="00543EF5"/>
    <w:rsid w:val="00544E97"/>
    <w:rsid w:val="0054512B"/>
    <w:rsid w:val="005561D6"/>
    <w:rsid w:val="005633E0"/>
    <w:rsid w:val="0056395F"/>
    <w:rsid w:val="0059569F"/>
    <w:rsid w:val="005960CF"/>
    <w:rsid w:val="005E2B00"/>
    <w:rsid w:val="005E379A"/>
    <w:rsid w:val="005E3CEB"/>
    <w:rsid w:val="005F74EF"/>
    <w:rsid w:val="00602015"/>
    <w:rsid w:val="00612755"/>
    <w:rsid w:val="00616559"/>
    <w:rsid w:val="0064523A"/>
    <w:rsid w:val="00654971"/>
    <w:rsid w:val="00662D92"/>
    <w:rsid w:val="0066543F"/>
    <w:rsid w:val="00673EF6"/>
    <w:rsid w:val="0067484E"/>
    <w:rsid w:val="00696CEB"/>
    <w:rsid w:val="00696D0F"/>
    <w:rsid w:val="006A06DC"/>
    <w:rsid w:val="006B4959"/>
    <w:rsid w:val="006B6CA8"/>
    <w:rsid w:val="006D5ABF"/>
    <w:rsid w:val="006F2E03"/>
    <w:rsid w:val="007134EE"/>
    <w:rsid w:val="00723739"/>
    <w:rsid w:val="00737D5A"/>
    <w:rsid w:val="00760C85"/>
    <w:rsid w:val="007A047C"/>
    <w:rsid w:val="007A5ADB"/>
    <w:rsid w:val="007A7A22"/>
    <w:rsid w:val="007B751F"/>
    <w:rsid w:val="007C3A2D"/>
    <w:rsid w:val="007C62CE"/>
    <w:rsid w:val="007E1C2F"/>
    <w:rsid w:val="007E2BAD"/>
    <w:rsid w:val="007E5D51"/>
    <w:rsid w:val="007F1F85"/>
    <w:rsid w:val="007F648A"/>
    <w:rsid w:val="0080665B"/>
    <w:rsid w:val="00825DD2"/>
    <w:rsid w:val="00830596"/>
    <w:rsid w:val="0083082E"/>
    <w:rsid w:val="00854A2B"/>
    <w:rsid w:val="00856DE1"/>
    <w:rsid w:val="0086331B"/>
    <w:rsid w:val="00872E99"/>
    <w:rsid w:val="00875548"/>
    <w:rsid w:val="008779D9"/>
    <w:rsid w:val="00882C31"/>
    <w:rsid w:val="0089139E"/>
    <w:rsid w:val="00892F54"/>
    <w:rsid w:val="00897896"/>
    <w:rsid w:val="008B6F75"/>
    <w:rsid w:val="008D189D"/>
    <w:rsid w:val="008E4053"/>
    <w:rsid w:val="00913439"/>
    <w:rsid w:val="00916132"/>
    <w:rsid w:val="00921447"/>
    <w:rsid w:val="009244ED"/>
    <w:rsid w:val="009256DC"/>
    <w:rsid w:val="00937636"/>
    <w:rsid w:val="009422A6"/>
    <w:rsid w:val="00946CEF"/>
    <w:rsid w:val="00947CC9"/>
    <w:rsid w:val="00957EB2"/>
    <w:rsid w:val="00962550"/>
    <w:rsid w:val="00962B82"/>
    <w:rsid w:val="00971845"/>
    <w:rsid w:val="009804C9"/>
    <w:rsid w:val="00981961"/>
    <w:rsid w:val="00985D63"/>
    <w:rsid w:val="0098623A"/>
    <w:rsid w:val="009B39CC"/>
    <w:rsid w:val="009B4AD0"/>
    <w:rsid w:val="009C2C40"/>
    <w:rsid w:val="009C7484"/>
    <w:rsid w:val="009E79AE"/>
    <w:rsid w:val="009F7193"/>
    <w:rsid w:val="00A131B8"/>
    <w:rsid w:val="00A47919"/>
    <w:rsid w:val="00A56601"/>
    <w:rsid w:val="00A647C4"/>
    <w:rsid w:val="00A7073E"/>
    <w:rsid w:val="00A738E9"/>
    <w:rsid w:val="00A746D0"/>
    <w:rsid w:val="00A74EAA"/>
    <w:rsid w:val="00A874D3"/>
    <w:rsid w:val="00A87CD9"/>
    <w:rsid w:val="00A94208"/>
    <w:rsid w:val="00AA41C0"/>
    <w:rsid w:val="00AB6957"/>
    <w:rsid w:val="00AC1245"/>
    <w:rsid w:val="00AC33BF"/>
    <w:rsid w:val="00AF027A"/>
    <w:rsid w:val="00AF50EA"/>
    <w:rsid w:val="00B31E94"/>
    <w:rsid w:val="00B32D67"/>
    <w:rsid w:val="00B60F3A"/>
    <w:rsid w:val="00B73596"/>
    <w:rsid w:val="00B74C93"/>
    <w:rsid w:val="00B74D35"/>
    <w:rsid w:val="00B819F4"/>
    <w:rsid w:val="00B86F9E"/>
    <w:rsid w:val="00B95DF4"/>
    <w:rsid w:val="00BB1BAE"/>
    <w:rsid w:val="00BB242E"/>
    <w:rsid w:val="00BB61C0"/>
    <w:rsid w:val="00BD6AA0"/>
    <w:rsid w:val="00BE3F9F"/>
    <w:rsid w:val="00BF389B"/>
    <w:rsid w:val="00C007E4"/>
    <w:rsid w:val="00C04E77"/>
    <w:rsid w:val="00C0722A"/>
    <w:rsid w:val="00C07782"/>
    <w:rsid w:val="00C13E7E"/>
    <w:rsid w:val="00C15DBA"/>
    <w:rsid w:val="00C30C98"/>
    <w:rsid w:val="00C34E18"/>
    <w:rsid w:val="00C428E0"/>
    <w:rsid w:val="00C4529E"/>
    <w:rsid w:val="00C56B1C"/>
    <w:rsid w:val="00C609B2"/>
    <w:rsid w:val="00C72847"/>
    <w:rsid w:val="00C97032"/>
    <w:rsid w:val="00CA30DC"/>
    <w:rsid w:val="00CA33CF"/>
    <w:rsid w:val="00CA4168"/>
    <w:rsid w:val="00CA4D60"/>
    <w:rsid w:val="00CB0C47"/>
    <w:rsid w:val="00CB3B56"/>
    <w:rsid w:val="00CC4343"/>
    <w:rsid w:val="00CD1AE3"/>
    <w:rsid w:val="00CD3563"/>
    <w:rsid w:val="00CE3C71"/>
    <w:rsid w:val="00D00409"/>
    <w:rsid w:val="00D10A3C"/>
    <w:rsid w:val="00D21F30"/>
    <w:rsid w:val="00D3694B"/>
    <w:rsid w:val="00D47497"/>
    <w:rsid w:val="00D67F3C"/>
    <w:rsid w:val="00D76E87"/>
    <w:rsid w:val="00D93801"/>
    <w:rsid w:val="00D93B28"/>
    <w:rsid w:val="00E04754"/>
    <w:rsid w:val="00E17450"/>
    <w:rsid w:val="00E22FF1"/>
    <w:rsid w:val="00E27E09"/>
    <w:rsid w:val="00E451F0"/>
    <w:rsid w:val="00E64FA6"/>
    <w:rsid w:val="00E7717F"/>
    <w:rsid w:val="00E86729"/>
    <w:rsid w:val="00E91A9A"/>
    <w:rsid w:val="00E94094"/>
    <w:rsid w:val="00EA29BC"/>
    <w:rsid w:val="00EE3BF2"/>
    <w:rsid w:val="00EE5ECB"/>
    <w:rsid w:val="00EF415D"/>
    <w:rsid w:val="00F0449C"/>
    <w:rsid w:val="00F078D9"/>
    <w:rsid w:val="00F23A4B"/>
    <w:rsid w:val="00F2451D"/>
    <w:rsid w:val="00F36461"/>
    <w:rsid w:val="00F366FF"/>
    <w:rsid w:val="00F43C91"/>
    <w:rsid w:val="00F51FEA"/>
    <w:rsid w:val="00F92CF0"/>
    <w:rsid w:val="00FB7268"/>
    <w:rsid w:val="00FB741A"/>
    <w:rsid w:val="00FC2CE7"/>
    <w:rsid w:val="00FC52B9"/>
    <w:rsid w:val="00FD3B27"/>
    <w:rsid w:val="00FD7454"/>
    <w:rsid w:val="00FE3201"/>
    <w:rsid w:val="00FF2B8D"/>
    <w:rsid w:val="01E44C7A"/>
    <w:rsid w:val="0B383C93"/>
    <w:rsid w:val="11F86611"/>
    <w:rsid w:val="15710A7B"/>
    <w:rsid w:val="16B04D2C"/>
    <w:rsid w:val="176B768D"/>
    <w:rsid w:val="1FD112DC"/>
    <w:rsid w:val="21E53A03"/>
    <w:rsid w:val="23424B0A"/>
    <w:rsid w:val="27002546"/>
    <w:rsid w:val="336C3CF4"/>
    <w:rsid w:val="355F45E9"/>
    <w:rsid w:val="35B15500"/>
    <w:rsid w:val="39162C05"/>
    <w:rsid w:val="3A6402CB"/>
    <w:rsid w:val="4B04516C"/>
    <w:rsid w:val="4DA2214B"/>
    <w:rsid w:val="5606306D"/>
    <w:rsid w:val="627206E6"/>
    <w:rsid w:val="63D95B89"/>
    <w:rsid w:val="63E06D71"/>
    <w:rsid w:val="69EB05C1"/>
    <w:rsid w:val="7717667C"/>
    <w:rsid w:val="78A02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1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21"/>
    <w:semiHidden/>
    <w:unhideWhenUsed/>
    <w:qFormat/>
    <w:uiPriority w:val="99"/>
    <w:rPr>
      <w:sz w:val="18"/>
      <w:szCs w:val="18"/>
    </w:rPr>
  </w:style>
  <w:style w:type="paragraph" w:styleId="5">
    <w:name w:val="footer"/>
    <w:basedOn w:val="1"/>
    <w:link w:val="16"/>
    <w:semiHidden/>
    <w:unhideWhenUsed/>
    <w:qFormat/>
    <w:uiPriority w:val="99"/>
    <w:pPr>
      <w:tabs>
        <w:tab w:val="center" w:pos="4153"/>
        <w:tab w:val="right" w:pos="8306"/>
      </w:tabs>
      <w:snapToGrid w:val="0"/>
      <w:jc w:val="left"/>
    </w:pPr>
    <w:rPr>
      <w:sz w:val="18"/>
      <w:szCs w:val="18"/>
    </w:rPr>
  </w:style>
  <w:style w:type="paragraph" w:styleId="6">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FollowedHyperlink"/>
    <w:basedOn w:val="8"/>
    <w:semiHidden/>
    <w:unhideWhenUsed/>
    <w:uiPriority w:val="99"/>
    <w:rPr>
      <w:color w:val="800080"/>
      <w:u w:val="single"/>
    </w:rPr>
  </w:style>
  <w:style w:type="character" w:styleId="11">
    <w:name w:val="Emphasis"/>
    <w:basedOn w:val="8"/>
    <w:qFormat/>
    <w:uiPriority w:val="20"/>
    <w:rPr>
      <w:i/>
      <w:iCs/>
    </w:rPr>
  </w:style>
  <w:style w:type="character" w:styleId="12">
    <w:name w:val="Hyperlink"/>
    <w:basedOn w:val="8"/>
    <w:semiHidden/>
    <w:unhideWhenUsed/>
    <w:qFormat/>
    <w:uiPriority w:val="99"/>
    <w:rPr>
      <w:color w:val="0000FF"/>
      <w:u w:val="single"/>
    </w:rPr>
  </w:style>
  <w:style w:type="character" w:styleId="13">
    <w:name w:val="HTML Cite"/>
    <w:basedOn w:val="8"/>
    <w:semiHidden/>
    <w:unhideWhenUsed/>
    <w:qFormat/>
    <w:uiPriority w:val="99"/>
    <w:rPr>
      <w:i/>
      <w:iCs/>
    </w:rPr>
  </w:style>
  <w:style w:type="character" w:customStyle="1" w:styleId="15">
    <w:name w:val="页眉 Char"/>
    <w:basedOn w:val="8"/>
    <w:link w:val="6"/>
    <w:semiHidden/>
    <w:qFormat/>
    <w:uiPriority w:val="99"/>
    <w:rPr>
      <w:sz w:val="18"/>
      <w:szCs w:val="18"/>
    </w:rPr>
  </w:style>
  <w:style w:type="character" w:customStyle="1" w:styleId="16">
    <w:name w:val="页脚 Char"/>
    <w:basedOn w:val="8"/>
    <w:link w:val="5"/>
    <w:semiHidden/>
    <w:qFormat/>
    <w:uiPriority w:val="99"/>
    <w:rPr>
      <w:sz w:val="18"/>
      <w:szCs w:val="18"/>
    </w:rPr>
  </w:style>
  <w:style w:type="character" w:customStyle="1" w:styleId="17">
    <w:name w:val="标题 2 Char"/>
    <w:basedOn w:val="8"/>
    <w:link w:val="2"/>
    <w:qFormat/>
    <w:uiPriority w:val="9"/>
    <w:rPr>
      <w:rFonts w:ascii="宋体" w:hAnsi="宋体" w:eastAsia="宋体" w:cs="宋体"/>
      <w:b/>
      <w:bCs/>
      <w:kern w:val="0"/>
      <w:sz w:val="36"/>
      <w:szCs w:val="36"/>
    </w:rPr>
  </w:style>
  <w:style w:type="character" w:customStyle="1" w:styleId="18">
    <w:name w:val="标题 3 Char"/>
    <w:basedOn w:val="8"/>
    <w:link w:val="3"/>
    <w:qFormat/>
    <w:uiPriority w:val="9"/>
    <w:rPr>
      <w:rFonts w:ascii="宋体" w:hAnsi="宋体" w:eastAsia="宋体" w:cs="宋体"/>
      <w:b/>
      <w:bCs/>
      <w:kern w:val="0"/>
      <w:sz w:val="27"/>
      <w:szCs w:val="27"/>
    </w:rPr>
  </w:style>
  <w:style w:type="character" w:customStyle="1" w:styleId="19">
    <w:name w:val="time"/>
    <w:basedOn w:val="8"/>
    <w:qFormat/>
    <w:uiPriority w:val="0"/>
  </w:style>
  <w:style w:type="character" w:customStyle="1" w:styleId="20">
    <w:name w:val="sg_txtb"/>
    <w:basedOn w:val="8"/>
    <w:qFormat/>
    <w:uiPriority w:val="0"/>
  </w:style>
  <w:style w:type="character" w:customStyle="1" w:styleId="21">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520</Words>
  <Characters>2969</Characters>
  <Lines>24</Lines>
  <Paragraphs>6</Paragraphs>
  <TotalTime>5</TotalTime>
  <ScaleCrop>false</ScaleCrop>
  <LinksUpToDate>false</LinksUpToDate>
  <CharactersWithSpaces>3483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2014-12-18T03:24:00Z</dcterms:created>
  <dc:creator>微软用户</dc:creator>
  <cp:lastModifiedBy>ZCJ02</cp:lastModifiedBy>
  <dcterms:modified xsi:type="dcterms:W3CDTF">2020-05-21T01:54:33Z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