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before="100" w:beforeAutospacing="1" w:after="100" w:afterAutospacing="1"/>
        <w:rPr>
          <w:sz w:val="30"/>
          <w:szCs w:val="30"/>
        </w:rPr>
      </w:pPr>
    </w:p>
    <w:p>
      <w:pPr>
        <w:shd w:val="clear" w:color="auto" w:fill="FFFFFF"/>
        <w:spacing w:before="100" w:beforeAutospacing="1" w:after="100" w:afterAutospacing="1"/>
        <w:jc w:val="center"/>
        <w:rPr>
          <w:rFonts w:ascii="黑体" w:hAnsi="ˎ̥" w:eastAsia="黑体"/>
          <w:sz w:val="44"/>
          <w:szCs w:val="44"/>
        </w:rPr>
      </w:pPr>
      <w:r>
        <w:rPr>
          <w:rFonts w:hint="eastAsia" w:ascii="黑体" w:hAnsi="ˎ̥" w:eastAsia="黑体"/>
          <w:sz w:val="44"/>
          <w:szCs w:val="44"/>
        </w:rPr>
        <w:t>海南省海口市政府服务中心2018年度部门决算汇总部门2018年度部门决算</w:t>
      </w:r>
    </w:p>
    <w:p>
      <w:pPr>
        <w:shd w:val="clear" w:color="auto" w:fill="FFFFFF"/>
        <w:spacing w:before="100" w:beforeAutospacing="1" w:after="100" w:afterAutospacing="1"/>
        <w:jc w:val="center"/>
        <w:rPr>
          <w:rFonts w:ascii="黑体" w:hAnsi="ˎ̥" w:eastAsia="黑体"/>
          <w:b/>
          <w:sz w:val="32"/>
          <w:szCs w:val="32"/>
        </w:rPr>
      </w:pPr>
    </w:p>
    <w:p>
      <w:pPr>
        <w:shd w:val="clear" w:color="auto" w:fill="FFFFFF"/>
        <w:spacing w:before="100" w:beforeAutospacing="1" w:after="100" w:afterAutospacing="1"/>
        <w:jc w:val="center"/>
        <w:rPr>
          <w:rFonts w:ascii="黑体" w:hAnsi="黑体" w:eastAsia="黑体" w:cs="黑体"/>
          <w:sz w:val="44"/>
          <w:szCs w:val="44"/>
        </w:rPr>
      </w:pPr>
      <w:bookmarkStart w:id="0" w:name="_Toc11440_WPSOffice_Type2"/>
      <w:r>
        <w:rPr>
          <w:rFonts w:hint="eastAsia" w:ascii="黑体" w:hAnsi="黑体" w:eastAsia="黑体" w:cs="黑体"/>
          <w:sz w:val="44"/>
          <w:szCs w:val="44"/>
        </w:rPr>
        <w:t>目  录</w:t>
      </w:r>
    </w:p>
    <w:p>
      <w:pPr>
        <w:pStyle w:val="6"/>
        <w:shd w:val="clear" w:color="auto" w:fill="FFFFFF"/>
        <w:tabs>
          <w:tab w:val="right" w:leader="dot" w:pos="8306"/>
        </w:tabs>
        <w:rPr>
          <w:sz w:val="32"/>
          <w:szCs w:val="32"/>
        </w:rPr>
      </w:pPr>
      <w:r>
        <w:rPr>
          <w:rFonts w:hint="eastAsia" w:ascii="黑体" w:hAnsi="ˎ̥" w:eastAsia="黑体"/>
          <w:sz w:val="32"/>
          <w:szCs w:val="32"/>
        </w:rPr>
        <w:t>第一部分  海南省海口市政府服务中心2018年度部门决算汇总部门部门概况</w:t>
      </w:r>
      <w:r>
        <w:rPr>
          <w:sz w:val="32"/>
          <w:szCs w:val="32"/>
        </w:rPr>
        <w:tab/>
      </w:r>
      <w:r>
        <w:rPr>
          <w:sz w:val="32"/>
          <w:szCs w:val="32"/>
        </w:rPr>
        <w:t>3</w:t>
      </w:r>
    </w:p>
    <w:p>
      <w:pPr>
        <w:pStyle w:val="7"/>
        <w:shd w:val="clear" w:color="auto" w:fill="FFFFFF"/>
        <w:tabs>
          <w:tab w:val="right" w:leader="dot" w:pos="8306"/>
        </w:tabs>
        <w:rPr>
          <w:rFonts w:ascii="仿宋" w:hAnsi="仿宋" w:eastAsia="仿宋" w:cs="仿宋"/>
          <w:sz w:val="32"/>
          <w:szCs w:val="32"/>
        </w:rPr>
      </w:pPr>
      <w:r>
        <w:rPr>
          <w:rFonts w:hint="eastAsia" w:ascii="仿宋" w:hAnsi="仿宋" w:eastAsia="仿宋" w:cs="仿宋"/>
          <w:sz w:val="32"/>
          <w:szCs w:val="32"/>
        </w:rPr>
        <w:t>一、部门职责</w:t>
      </w:r>
      <w:r>
        <w:rPr>
          <w:rFonts w:hint="eastAsia" w:ascii="仿宋" w:hAnsi="仿宋" w:eastAsia="仿宋" w:cs="仿宋"/>
          <w:sz w:val="32"/>
          <w:szCs w:val="32"/>
        </w:rPr>
        <w:tab/>
      </w:r>
      <w:r>
        <w:rPr>
          <w:rFonts w:hint="eastAsia" w:ascii="仿宋" w:hAnsi="仿宋" w:eastAsia="仿宋" w:cs="仿宋"/>
          <w:sz w:val="32"/>
          <w:szCs w:val="32"/>
        </w:rPr>
        <w:t>3</w:t>
      </w:r>
    </w:p>
    <w:p>
      <w:pPr>
        <w:pStyle w:val="7"/>
        <w:shd w:val="clear" w:color="auto" w:fill="FFFFFF"/>
        <w:tabs>
          <w:tab w:val="right" w:leader="dot" w:pos="8306"/>
        </w:tabs>
        <w:rPr>
          <w:rFonts w:ascii="仿宋" w:hAnsi="仿宋" w:eastAsia="仿宋" w:cs="仿宋"/>
          <w:sz w:val="32"/>
          <w:szCs w:val="32"/>
        </w:rPr>
      </w:pPr>
      <w:r>
        <w:rPr>
          <w:rFonts w:hint="eastAsia" w:ascii="仿宋" w:hAnsi="仿宋" w:eastAsia="仿宋" w:cs="仿宋"/>
          <w:sz w:val="32"/>
          <w:szCs w:val="32"/>
        </w:rPr>
        <w:t>二、机构设置</w:t>
      </w:r>
      <w:r>
        <w:rPr>
          <w:rFonts w:hint="eastAsia" w:ascii="仿宋" w:hAnsi="仿宋" w:eastAsia="仿宋" w:cs="仿宋"/>
          <w:sz w:val="32"/>
          <w:szCs w:val="32"/>
        </w:rPr>
        <w:tab/>
      </w:r>
      <w:r>
        <w:rPr>
          <w:rFonts w:hint="eastAsia" w:ascii="仿宋" w:hAnsi="仿宋" w:eastAsia="仿宋" w:cs="仿宋"/>
          <w:sz w:val="32"/>
          <w:szCs w:val="32"/>
        </w:rPr>
        <w:t>3</w:t>
      </w:r>
    </w:p>
    <w:p>
      <w:pPr>
        <w:pStyle w:val="6"/>
        <w:shd w:val="clear" w:color="auto" w:fill="FFFFFF"/>
        <w:tabs>
          <w:tab w:val="right" w:leader="dot" w:pos="8306"/>
        </w:tabs>
        <w:rPr>
          <w:sz w:val="32"/>
          <w:szCs w:val="32"/>
        </w:rPr>
      </w:pPr>
      <w:r>
        <w:rPr>
          <w:rFonts w:hint="eastAsia" w:ascii="黑体" w:hAnsi="ˎ̥" w:eastAsia="黑体"/>
          <w:sz w:val="32"/>
          <w:szCs w:val="32"/>
        </w:rPr>
        <w:t>第二部分  海南省海口市政府服务中心2018年度部门决算汇总部门2018年度部门决算公开表</w:t>
      </w:r>
      <w:r>
        <w:rPr>
          <w:sz w:val="32"/>
          <w:szCs w:val="32"/>
        </w:rPr>
        <w:tab/>
      </w:r>
      <w:r>
        <w:rPr>
          <w:sz w:val="32"/>
          <w:szCs w:val="32"/>
        </w:rPr>
        <w:t>3</w:t>
      </w:r>
    </w:p>
    <w:p>
      <w:pPr>
        <w:pStyle w:val="7"/>
        <w:shd w:val="clear" w:color="auto" w:fill="FFFFFF"/>
        <w:tabs>
          <w:tab w:val="right" w:leader="dot" w:pos="8306"/>
        </w:tabs>
        <w:rPr>
          <w:rFonts w:ascii="仿宋" w:hAnsi="仿宋" w:eastAsia="仿宋" w:cs="仿宋"/>
          <w:sz w:val="32"/>
          <w:szCs w:val="32"/>
        </w:rPr>
      </w:pPr>
      <w:r>
        <w:rPr>
          <w:rFonts w:hint="eastAsia" w:ascii="仿宋" w:hAnsi="仿宋" w:eastAsia="仿宋" w:cs="仿宋"/>
          <w:sz w:val="32"/>
          <w:szCs w:val="32"/>
        </w:rPr>
        <w:t>一、收入支出决算公开表</w:t>
      </w:r>
      <w:r>
        <w:rPr>
          <w:rFonts w:hint="eastAsia" w:ascii="仿宋" w:hAnsi="仿宋" w:eastAsia="仿宋" w:cs="仿宋"/>
          <w:sz w:val="32"/>
          <w:szCs w:val="32"/>
        </w:rPr>
        <w:tab/>
      </w:r>
      <w:r>
        <w:rPr>
          <w:rFonts w:hint="eastAsia" w:ascii="仿宋" w:hAnsi="仿宋" w:eastAsia="仿宋" w:cs="仿宋"/>
          <w:sz w:val="32"/>
          <w:szCs w:val="32"/>
        </w:rPr>
        <w:t>3</w:t>
      </w:r>
    </w:p>
    <w:p>
      <w:pPr>
        <w:pStyle w:val="7"/>
        <w:shd w:val="clear" w:color="auto" w:fill="FFFFFF"/>
        <w:tabs>
          <w:tab w:val="right" w:leader="dot" w:pos="8306"/>
        </w:tabs>
        <w:rPr>
          <w:rFonts w:ascii="仿宋" w:hAnsi="仿宋" w:eastAsia="仿宋" w:cs="仿宋"/>
          <w:sz w:val="32"/>
          <w:szCs w:val="32"/>
        </w:rPr>
      </w:pPr>
      <w:r>
        <w:rPr>
          <w:rFonts w:hint="eastAsia" w:ascii="仿宋" w:hAnsi="仿宋" w:eastAsia="仿宋" w:cs="仿宋"/>
          <w:sz w:val="32"/>
          <w:szCs w:val="32"/>
        </w:rPr>
        <w:t>二、收入决算公开表</w:t>
      </w:r>
      <w:r>
        <w:rPr>
          <w:rFonts w:hint="eastAsia" w:ascii="仿宋" w:hAnsi="仿宋" w:eastAsia="仿宋" w:cs="仿宋"/>
          <w:sz w:val="32"/>
          <w:szCs w:val="32"/>
        </w:rPr>
        <w:tab/>
      </w:r>
      <w:r>
        <w:rPr>
          <w:rFonts w:hint="eastAsia" w:ascii="仿宋" w:hAnsi="仿宋" w:eastAsia="仿宋" w:cs="仿宋"/>
          <w:sz w:val="32"/>
          <w:szCs w:val="32"/>
        </w:rPr>
        <w:t>3</w:t>
      </w:r>
    </w:p>
    <w:p>
      <w:pPr>
        <w:pStyle w:val="7"/>
        <w:shd w:val="clear" w:color="auto" w:fill="FFFFFF"/>
        <w:tabs>
          <w:tab w:val="right" w:leader="dot" w:pos="8306"/>
        </w:tabs>
        <w:rPr>
          <w:rFonts w:ascii="仿宋" w:hAnsi="仿宋" w:eastAsia="仿宋" w:cs="仿宋"/>
          <w:sz w:val="32"/>
          <w:szCs w:val="32"/>
        </w:rPr>
      </w:pPr>
      <w:r>
        <w:rPr>
          <w:rFonts w:hint="eastAsia" w:ascii="仿宋" w:hAnsi="仿宋" w:eastAsia="仿宋" w:cs="仿宋"/>
          <w:sz w:val="32"/>
          <w:szCs w:val="32"/>
        </w:rPr>
        <w:t>三、支出决算公开表</w:t>
      </w:r>
      <w:r>
        <w:rPr>
          <w:rFonts w:hint="eastAsia" w:ascii="仿宋" w:hAnsi="仿宋" w:eastAsia="仿宋" w:cs="仿宋"/>
          <w:sz w:val="32"/>
          <w:szCs w:val="32"/>
        </w:rPr>
        <w:tab/>
      </w:r>
      <w:r>
        <w:rPr>
          <w:rFonts w:hint="eastAsia" w:ascii="仿宋" w:hAnsi="仿宋" w:eastAsia="仿宋" w:cs="仿宋"/>
          <w:sz w:val="32"/>
          <w:szCs w:val="32"/>
        </w:rPr>
        <w:t>3</w:t>
      </w:r>
    </w:p>
    <w:p>
      <w:pPr>
        <w:pStyle w:val="7"/>
        <w:shd w:val="clear" w:color="auto" w:fill="FFFFFF"/>
        <w:tabs>
          <w:tab w:val="right" w:leader="dot" w:pos="8306"/>
        </w:tabs>
        <w:rPr>
          <w:rFonts w:ascii="仿宋" w:hAnsi="仿宋" w:eastAsia="仿宋" w:cs="仿宋"/>
          <w:sz w:val="32"/>
          <w:szCs w:val="32"/>
        </w:rPr>
      </w:pPr>
      <w:r>
        <w:rPr>
          <w:rFonts w:hint="eastAsia" w:ascii="仿宋" w:hAnsi="仿宋" w:eastAsia="仿宋" w:cs="仿宋"/>
          <w:sz w:val="32"/>
          <w:szCs w:val="32"/>
        </w:rPr>
        <w:t>四、 财政拨款收入支出决算公开表</w:t>
      </w:r>
      <w:r>
        <w:rPr>
          <w:rFonts w:hint="eastAsia" w:ascii="仿宋" w:hAnsi="仿宋" w:eastAsia="仿宋" w:cs="仿宋"/>
          <w:sz w:val="32"/>
          <w:szCs w:val="32"/>
        </w:rPr>
        <w:tab/>
      </w:r>
      <w:r>
        <w:rPr>
          <w:rFonts w:hint="eastAsia" w:ascii="仿宋" w:hAnsi="仿宋" w:eastAsia="仿宋" w:cs="仿宋"/>
          <w:sz w:val="32"/>
          <w:szCs w:val="32"/>
        </w:rPr>
        <w:t>3</w:t>
      </w:r>
    </w:p>
    <w:p>
      <w:pPr>
        <w:pStyle w:val="7"/>
        <w:shd w:val="clear" w:color="auto" w:fill="FFFFFF"/>
        <w:tabs>
          <w:tab w:val="right" w:leader="dot" w:pos="8306"/>
        </w:tabs>
        <w:rPr>
          <w:rFonts w:ascii="仿宋" w:hAnsi="仿宋" w:eastAsia="仿宋" w:cs="仿宋"/>
          <w:sz w:val="32"/>
          <w:szCs w:val="32"/>
        </w:rPr>
      </w:pPr>
      <w:r>
        <w:rPr>
          <w:rFonts w:hint="eastAsia" w:ascii="仿宋" w:hAnsi="仿宋" w:eastAsia="仿宋" w:cs="仿宋"/>
          <w:sz w:val="32"/>
          <w:szCs w:val="32"/>
        </w:rPr>
        <w:t>五、一般公共预算财政拨款收入支出决算公开表</w:t>
      </w:r>
      <w:r>
        <w:rPr>
          <w:rFonts w:hint="eastAsia" w:ascii="仿宋" w:hAnsi="仿宋" w:eastAsia="仿宋" w:cs="仿宋"/>
          <w:sz w:val="32"/>
          <w:szCs w:val="32"/>
        </w:rPr>
        <w:tab/>
      </w:r>
      <w:r>
        <w:rPr>
          <w:rFonts w:hint="eastAsia" w:ascii="仿宋" w:hAnsi="仿宋" w:eastAsia="仿宋" w:cs="仿宋"/>
          <w:sz w:val="32"/>
          <w:szCs w:val="32"/>
        </w:rPr>
        <w:t>3</w:t>
      </w:r>
    </w:p>
    <w:p>
      <w:pPr>
        <w:pStyle w:val="7"/>
        <w:shd w:val="clear" w:color="auto" w:fill="FFFFFF"/>
        <w:tabs>
          <w:tab w:val="right" w:leader="dot" w:pos="8306"/>
        </w:tabs>
        <w:rPr>
          <w:rFonts w:ascii="仿宋" w:hAnsi="仿宋" w:eastAsia="仿宋" w:cs="仿宋"/>
          <w:sz w:val="32"/>
          <w:szCs w:val="32"/>
        </w:rPr>
      </w:pPr>
      <w:r>
        <w:rPr>
          <w:rFonts w:hint="eastAsia" w:ascii="仿宋" w:hAnsi="仿宋" w:eastAsia="仿宋" w:cs="仿宋"/>
          <w:sz w:val="32"/>
          <w:szCs w:val="32"/>
        </w:rPr>
        <w:t>六、一般公共预算财政拨款基本支出决算公开表</w:t>
      </w:r>
      <w:r>
        <w:rPr>
          <w:rFonts w:hint="eastAsia" w:ascii="仿宋" w:hAnsi="仿宋" w:eastAsia="仿宋" w:cs="仿宋"/>
          <w:sz w:val="32"/>
          <w:szCs w:val="32"/>
        </w:rPr>
        <w:tab/>
      </w:r>
      <w:r>
        <w:rPr>
          <w:rFonts w:hint="eastAsia" w:ascii="仿宋" w:hAnsi="仿宋" w:eastAsia="仿宋" w:cs="仿宋"/>
          <w:sz w:val="32"/>
          <w:szCs w:val="32"/>
        </w:rPr>
        <w:t>3</w:t>
      </w:r>
    </w:p>
    <w:p>
      <w:pPr>
        <w:pStyle w:val="7"/>
        <w:shd w:val="clear" w:color="auto" w:fill="FFFFFF"/>
        <w:tabs>
          <w:tab w:val="right" w:leader="dot" w:pos="8306"/>
        </w:tabs>
        <w:rPr>
          <w:rFonts w:ascii="仿宋" w:hAnsi="仿宋" w:eastAsia="仿宋" w:cs="仿宋"/>
          <w:sz w:val="32"/>
          <w:szCs w:val="32"/>
        </w:rPr>
      </w:pPr>
      <w:r>
        <w:rPr>
          <w:rFonts w:hint="eastAsia" w:ascii="仿宋" w:hAnsi="仿宋" w:eastAsia="仿宋" w:cs="仿宋"/>
          <w:sz w:val="32"/>
          <w:szCs w:val="32"/>
        </w:rPr>
        <w:t>七、政府性基金预算财政拨款收入支出决算公开表</w:t>
      </w:r>
      <w:r>
        <w:rPr>
          <w:rFonts w:hint="eastAsia" w:ascii="仿宋" w:hAnsi="仿宋" w:eastAsia="仿宋" w:cs="仿宋"/>
          <w:sz w:val="32"/>
          <w:szCs w:val="32"/>
        </w:rPr>
        <w:tab/>
      </w:r>
      <w:r>
        <w:rPr>
          <w:rFonts w:hint="eastAsia" w:ascii="仿宋" w:hAnsi="仿宋" w:eastAsia="仿宋" w:cs="仿宋"/>
          <w:sz w:val="32"/>
          <w:szCs w:val="32"/>
        </w:rPr>
        <w:t>3</w:t>
      </w:r>
    </w:p>
    <w:p>
      <w:pPr>
        <w:pStyle w:val="7"/>
        <w:shd w:val="clear" w:color="auto" w:fill="FFFFFF"/>
        <w:tabs>
          <w:tab w:val="right" w:leader="dot" w:pos="8306"/>
        </w:tabs>
        <w:rPr>
          <w:rFonts w:ascii="仿宋" w:hAnsi="仿宋" w:eastAsia="仿宋" w:cs="仿宋"/>
          <w:sz w:val="32"/>
          <w:szCs w:val="32"/>
        </w:rPr>
      </w:pPr>
      <w:r>
        <w:rPr>
          <w:rFonts w:hint="eastAsia" w:ascii="仿宋" w:hAnsi="仿宋" w:eastAsia="仿宋" w:cs="仿宋"/>
          <w:sz w:val="32"/>
          <w:szCs w:val="32"/>
        </w:rPr>
        <w:t>八、一般公共预算财政拨款“三公”经费支出决算公开表</w:t>
      </w:r>
      <w:r>
        <w:rPr>
          <w:rFonts w:hint="eastAsia" w:ascii="仿宋" w:hAnsi="仿宋" w:eastAsia="仿宋" w:cs="仿宋"/>
          <w:sz w:val="32"/>
          <w:szCs w:val="32"/>
        </w:rPr>
        <w:tab/>
      </w:r>
      <w:r>
        <w:rPr>
          <w:rFonts w:hint="eastAsia" w:ascii="仿宋" w:hAnsi="仿宋" w:eastAsia="仿宋" w:cs="仿宋"/>
          <w:sz w:val="32"/>
          <w:szCs w:val="32"/>
        </w:rPr>
        <w:t>3</w:t>
      </w:r>
    </w:p>
    <w:p>
      <w:pPr>
        <w:pStyle w:val="7"/>
        <w:shd w:val="clear" w:color="auto" w:fill="FFFFFF"/>
        <w:tabs>
          <w:tab w:val="right" w:leader="dot" w:pos="8306"/>
        </w:tabs>
        <w:rPr>
          <w:rFonts w:ascii="仿宋" w:hAnsi="仿宋" w:eastAsia="仿宋" w:cs="仿宋"/>
          <w:sz w:val="32"/>
          <w:szCs w:val="32"/>
        </w:rPr>
      </w:pPr>
      <w:r>
        <w:rPr>
          <w:rFonts w:hint="eastAsia" w:ascii="仿宋" w:hAnsi="仿宋" w:eastAsia="仿宋" w:cs="仿宋"/>
          <w:sz w:val="32"/>
          <w:szCs w:val="32"/>
        </w:rPr>
        <w:t>九、政府性基金预算财政拨款“三公”经费支出决算公开表</w:t>
      </w:r>
      <w:r>
        <w:rPr>
          <w:rFonts w:hint="eastAsia" w:ascii="仿宋" w:hAnsi="仿宋" w:eastAsia="仿宋" w:cs="仿宋"/>
          <w:sz w:val="32"/>
          <w:szCs w:val="32"/>
        </w:rPr>
        <w:tab/>
      </w:r>
      <w:r>
        <w:rPr>
          <w:rFonts w:hint="eastAsia" w:ascii="仿宋" w:hAnsi="仿宋" w:eastAsia="仿宋" w:cs="仿宋"/>
          <w:sz w:val="32"/>
          <w:szCs w:val="32"/>
        </w:rPr>
        <w:t>3</w:t>
      </w:r>
    </w:p>
    <w:p>
      <w:pPr>
        <w:pStyle w:val="7"/>
        <w:shd w:val="clear" w:color="auto" w:fill="FFFFFF"/>
        <w:tabs>
          <w:tab w:val="right" w:leader="dot" w:pos="8306"/>
        </w:tabs>
        <w:rPr>
          <w:rFonts w:ascii="仿宋" w:hAnsi="仿宋" w:eastAsia="仿宋" w:cs="仿宋"/>
          <w:sz w:val="32"/>
          <w:szCs w:val="32"/>
        </w:rPr>
      </w:pPr>
      <w:r>
        <w:rPr>
          <w:rFonts w:hint="eastAsia" w:ascii="仿宋" w:hAnsi="仿宋" w:eastAsia="仿宋" w:cs="仿宋"/>
          <w:sz w:val="32"/>
          <w:szCs w:val="32"/>
        </w:rPr>
        <w:t>十、资产负债公开简表</w:t>
      </w:r>
      <w:r>
        <w:rPr>
          <w:rFonts w:hint="eastAsia" w:ascii="仿宋" w:hAnsi="仿宋" w:eastAsia="仿宋" w:cs="仿宋"/>
          <w:sz w:val="32"/>
          <w:szCs w:val="32"/>
        </w:rPr>
        <w:tab/>
      </w:r>
      <w:r>
        <w:rPr>
          <w:rFonts w:hint="eastAsia" w:ascii="仿宋" w:hAnsi="仿宋" w:eastAsia="仿宋" w:cs="仿宋"/>
          <w:sz w:val="32"/>
          <w:szCs w:val="32"/>
        </w:rPr>
        <w:t>3</w:t>
      </w:r>
    </w:p>
    <w:p>
      <w:pPr>
        <w:pStyle w:val="6"/>
        <w:shd w:val="clear" w:color="auto" w:fill="FFFFFF"/>
        <w:tabs>
          <w:tab w:val="right" w:leader="dot" w:pos="8306"/>
        </w:tabs>
        <w:rPr>
          <w:sz w:val="32"/>
          <w:szCs w:val="32"/>
        </w:rPr>
      </w:pPr>
      <w:r>
        <w:rPr>
          <w:rFonts w:hint="eastAsia" w:ascii="黑体" w:hAnsi="黑体" w:eastAsia="黑体" w:cs="黑体"/>
          <w:sz w:val="32"/>
          <w:szCs w:val="32"/>
        </w:rPr>
        <w:t>第三部分</w:t>
      </w:r>
      <w:r>
        <w:rPr>
          <w:sz w:val="32"/>
          <w:szCs w:val="32"/>
        </w:rPr>
        <w:t xml:space="preserve">  </w:t>
      </w:r>
      <w:r>
        <w:rPr>
          <w:rFonts w:hint="eastAsia" w:ascii="黑体" w:hAnsi="ˎ̥" w:eastAsia="黑体"/>
          <w:sz w:val="32"/>
          <w:szCs w:val="32"/>
        </w:rPr>
        <w:t>海南省海口市政府服务中心2018年度部门决算汇总部门2018年度部门决算情况说明</w:t>
      </w:r>
      <w:r>
        <w:rPr>
          <w:sz w:val="32"/>
          <w:szCs w:val="32"/>
        </w:rPr>
        <w:tab/>
      </w:r>
      <w:r>
        <w:rPr>
          <w:sz w:val="32"/>
          <w:szCs w:val="32"/>
        </w:rPr>
        <w:t>4</w:t>
      </w:r>
    </w:p>
    <w:p>
      <w:pPr>
        <w:pStyle w:val="7"/>
        <w:shd w:val="clear" w:color="auto" w:fill="FFFFFF"/>
        <w:tabs>
          <w:tab w:val="right" w:leader="dot" w:pos="8306"/>
        </w:tabs>
        <w:rPr>
          <w:rFonts w:ascii="仿宋" w:hAnsi="仿宋" w:eastAsia="仿宋" w:cs="仿宋"/>
          <w:sz w:val="32"/>
          <w:szCs w:val="32"/>
        </w:rPr>
      </w:pPr>
      <w:r>
        <w:rPr>
          <w:rFonts w:hint="eastAsia" w:ascii="仿宋" w:hAnsi="仿宋" w:eastAsia="仿宋" w:cs="仿宋"/>
          <w:bCs/>
          <w:sz w:val="32"/>
          <w:szCs w:val="32"/>
        </w:rPr>
        <w:t>一、收入支出决算总体情况说明</w:t>
      </w:r>
      <w:r>
        <w:rPr>
          <w:rFonts w:hint="eastAsia" w:ascii="仿宋" w:hAnsi="仿宋" w:eastAsia="仿宋" w:cs="仿宋"/>
          <w:sz w:val="32"/>
          <w:szCs w:val="32"/>
        </w:rPr>
        <w:tab/>
      </w:r>
      <w:r>
        <w:rPr>
          <w:rFonts w:hint="eastAsia" w:ascii="仿宋" w:hAnsi="仿宋" w:eastAsia="仿宋" w:cs="仿宋"/>
          <w:sz w:val="32"/>
          <w:szCs w:val="32"/>
        </w:rPr>
        <w:t>4</w:t>
      </w:r>
    </w:p>
    <w:p>
      <w:pPr>
        <w:pStyle w:val="7"/>
        <w:shd w:val="clear" w:color="auto" w:fill="FFFFFF"/>
        <w:tabs>
          <w:tab w:val="right" w:leader="dot" w:pos="8306"/>
        </w:tabs>
        <w:rPr>
          <w:rFonts w:ascii="仿宋" w:hAnsi="仿宋" w:eastAsia="仿宋" w:cs="仿宋"/>
          <w:sz w:val="32"/>
          <w:szCs w:val="32"/>
        </w:rPr>
      </w:pPr>
      <w:r>
        <w:rPr>
          <w:rFonts w:hint="eastAsia" w:ascii="仿宋" w:hAnsi="仿宋" w:eastAsia="仿宋" w:cs="仿宋"/>
          <w:bCs/>
          <w:sz w:val="32"/>
          <w:szCs w:val="32"/>
        </w:rPr>
        <w:t>二、收入决算情况说明</w:t>
      </w:r>
      <w:r>
        <w:rPr>
          <w:rFonts w:hint="eastAsia" w:ascii="仿宋" w:hAnsi="仿宋" w:eastAsia="仿宋" w:cs="仿宋"/>
          <w:sz w:val="32"/>
          <w:szCs w:val="32"/>
        </w:rPr>
        <w:tab/>
      </w:r>
      <w:r>
        <w:rPr>
          <w:rFonts w:hint="eastAsia" w:ascii="仿宋" w:hAnsi="仿宋" w:eastAsia="仿宋" w:cs="仿宋"/>
          <w:sz w:val="32"/>
          <w:szCs w:val="32"/>
        </w:rPr>
        <w:t>4</w:t>
      </w:r>
    </w:p>
    <w:p>
      <w:pPr>
        <w:pStyle w:val="7"/>
        <w:shd w:val="clear" w:color="auto" w:fill="FFFFFF"/>
        <w:tabs>
          <w:tab w:val="right" w:leader="dot" w:pos="8306"/>
        </w:tabs>
        <w:rPr>
          <w:rFonts w:ascii="仿宋" w:hAnsi="仿宋" w:eastAsia="仿宋" w:cs="仿宋"/>
          <w:sz w:val="32"/>
          <w:szCs w:val="32"/>
        </w:rPr>
      </w:pPr>
      <w:r>
        <w:rPr>
          <w:rFonts w:hint="eastAsia" w:ascii="仿宋" w:hAnsi="仿宋" w:eastAsia="仿宋" w:cs="仿宋"/>
          <w:bCs/>
          <w:sz w:val="32"/>
          <w:szCs w:val="32"/>
        </w:rPr>
        <w:t>三、支出决算情况说明</w:t>
      </w:r>
      <w:r>
        <w:rPr>
          <w:rFonts w:hint="eastAsia" w:ascii="仿宋" w:hAnsi="仿宋" w:eastAsia="仿宋" w:cs="仿宋"/>
          <w:sz w:val="32"/>
          <w:szCs w:val="32"/>
        </w:rPr>
        <w:tab/>
      </w:r>
      <w:r>
        <w:rPr>
          <w:rFonts w:hint="eastAsia" w:ascii="仿宋" w:hAnsi="仿宋" w:eastAsia="仿宋" w:cs="仿宋"/>
          <w:sz w:val="32"/>
          <w:szCs w:val="32"/>
        </w:rPr>
        <w:t>4</w:t>
      </w:r>
    </w:p>
    <w:p>
      <w:pPr>
        <w:pStyle w:val="7"/>
        <w:shd w:val="clear" w:color="auto" w:fill="FFFFFF"/>
        <w:tabs>
          <w:tab w:val="right" w:leader="dot" w:pos="8306"/>
        </w:tabs>
        <w:rPr>
          <w:rFonts w:ascii="仿宋" w:hAnsi="仿宋" w:eastAsia="仿宋" w:cs="仿宋"/>
          <w:sz w:val="32"/>
          <w:szCs w:val="32"/>
        </w:rPr>
      </w:pPr>
      <w:r>
        <w:rPr>
          <w:rFonts w:hint="eastAsia" w:ascii="仿宋" w:hAnsi="仿宋" w:eastAsia="仿宋" w:cs="仿宋"/>
          <w:bCs/>
          <w:sz w:val="32"/>
          <w:szCs w:val="32"/>
        </w:rPr>
        <w:t>四、财政拨款收入支出决算总体情况说明</w:t>
      </w:r>
      <w:r>
        <w:rPr>
          <w:rFonts w:hint="eastAsia" w:ascii="仿宋" w:hAnsi="仿宋" w:eastAsia="仿宋" w:cs="仿宋"/>
          <w:sz w:val="32"/>
          <w:szCs w:val="32"/>
        </w:rPr>
        <w:tab/>
      </w:r>
      <w:r>
        <w:rPr>
          <w:rFonts w:hint="eastAsia" w:ascii="仿宋" w:hAnsi="仿宋" w:eastAsia="仿宋" w:cs="仿宋"/>
          <w:sz w:val="32"/>
          <w:szCs w:val="32"/>
        </w:rPr>
        <w:t>5</w:t>
      </w:r>
    </w:p>
    <w:p>
      <w:pPr>
        <w:pStyle w:val="7"/>
        <w:shd w:val="clear" w:color="auto" w:fill="FFFFFF"/>
        <w:tabs>
          <w:tab w:val="right" w:leader="dot" w:pos="8306"/>
        </w:tabs>
        <w:rPr>
          <w:rFonts w:ascii="仿宋" w:hAnsi="仿宋" w:eastAsia="仿宋" w:cs="仿宋"/>
          <w:sz w:val="32"/>
          <w:szCs w:val="32"/>
        </w:rPr>
      </w:pPr>
      <w:r>
        <w:rPr>
          <w:rFonts w:hint="eastAsia" w:ascii="仿宋" w:hAnsi="仿宋" w:eastAsia="仿宋" w:cs="仿宋"/>
          <w:bCs/>
          <w:sz w:val="32"/>
          <w:szCs w:val="32"/>
        </w:rPr>
        <w:t>五、一般公共预算财政拨款支出决算情况说明</w:t>
      </w:r>
      <w:r>
        <w:rPr>
          <w:rFonts w:hint="eastAsia" w:ascii="仿宋" w:hAnsi="仿宋" w:eastAsia="仿宋" w:cs="仿宋"/>
          <w:sz w:val="32"/>
          <w:szCs w:val="32"/>
        </w:rPr>
        <w:tab/>
      </w:r>
      <w:r>
        <w:rPr>
          <w:rFonts w:hint="eastAsia" w:ascii="仿宋" w:hAnsi="仿宋" w:eastAsia="仿宋" w:cs="仿宋"/>
          <w:sz w:val="32"/>
          <w:szCs w:val="32"/>
        </w:rPr>
        <w:t>5</w:t>
      </w:r>
    </w:p>
    <w:p>
      <w:pPr>
        <w:pStyle w:val="7"/>
        <w:shd w:val="clear" w:color="auto" w:fill="FFFFFF"/>
        <w:tabs>
          <w:tab w:val="right" w:leader="dot" w:pos="8306"/>
        </w:tabs>
        <w:rPr>
          <w:rFonts w:ascii="仿宋" w:hAnsi="仿宋" w:eastAsia="仿宋" w:cs="仿宋"/>
          <w:sz w:val="32"/>
          <w:szCs w:val="32"/>
        </w:rPr>
      </w:pPr>
      <w:r>
        <w:rPr>
          <w:rFonts w:hint="eastAsia" w:ascii="仿宋" w:hAnsi="仿宋" w:eastAsia="仿宋" w:cs="仿宋"/>
          <w:bCs/>
          <w:sz w:val="32"/>
          <w:szCs w:val="32"/>
        </w:rPr>
        <w:t>六、一般公共预算财政拨款基本支出决算情况说明</w:t>
      </w:r>
      <w:r>
        <w:rPr>
          <w:rFonts w:hint="eastAsia" w:ascii="仿宋" w:hAnsi="仿宋" w:eastAsia="仿宋" w:cs="仿宋"/>
          <w:sz w:val="32"/>
          <w:szCs w:val="32"/>
        </w:rPr>
        <w:tab/>
      </w:r>
      <w:r>
        <w:rPr>
          <w:rFonts w:hint="eastAsia" w:ascii="仿宋" w:hAnsi="仿宋" w:eastAsia="仿宋" w:cs="仿宋"/>
          <w:sz w:val="32"/>
          <w:szCs w:val="32"/>
        </w:rPr>
        <w:t>6</w:t>
      </w:r>
    </w:p>
    <w:p>
      <w:pPr>
        <w:pStyle w:val="7"/>
        <w:shd w:val="clear" w:color="auto" w:fill="FFFFFF"/>
        <w:tabs>
          <w:tab w:val="right" w:leader="dot" w:pos="8306"/>
        </w:tabs>
        <w:rPr>
          <w:rFonts w:ascii="仿宋" w:hAnsi="仿宋" w:eastAsia="仿宋" w:cs="仿宋"/>
          <w:sz w:val="32"/>
          <w:szCs w:val="32"/>
        </w:rPr>
      </w:pPr>
      <w:r>
        <w:rPr>
          <w:rFonts w:hint="eastAsia" w:ascii="仿宋" w:hAnsi="仿宋" w:eastAsia="仿宋" w:cs="仿宋"/>
          <w:sz w:val="32"/>
          <w:szCs w:val="32"/>
        </w:rPr>
        <w:t>七、</w:t>
      </w:r>
      <w:r>
        <w:rPr>
          <w:rFonts w:hint="eastAsia" w:ascii="仿宋" w:hAnsi="仿宋" w:eastAsia="仿宋" w:cs="仿宋"/>
          <w:bCs/>
          <w:sz w:val="32"/>
          <w:szCs w:val="32"/>
        </w:rPr>
        <w:t>政府性基金预算财政拨款收入支出决算情况说明</w:t>
      </w:r>
      <w:r>
        <w:rPr>
          <w:rFonts w:hint="eastAsia" w:ascii="仿宋" w:hAnsi="仿宋" w:eastAsia="仿宋" w:cs="仿宋"/>
          <w:sz w:val="32"/>
          <w:szCs w:val="32"/>
        </w:rPr>
        <w:tab/>
      </w:r>
      <w:r>
        <w:rPr>
          <w:rFonts w:hint="eastAsia" w:ascii="仿宋" w:hAnsi="仿宋" w:eastAsia="仿宋" w:cs="仿宋"/>
          <w:sz w:val="32"/>
          <w:szCs w:val="32"/>
        </w:rPr>
        <w:t>5</w:t>
      </w:r>
    </w:p>
    <w:p>
      <w:pPr>
        <w:shd w:val="clear" w:color="auto" w:fill="FFFFFF"/>
        <w:spacing w:before="100" w:beforeAutospacing="1" w:after="100" w:afterAutospacing="1"/>
        <w:rPr>
          <w:rFonts w:ascii="仿宋" w:hAnsi="仿宋" w:eastAsia="仿宋" w:cs="仿宋"/>
          <w:sz w:val="32"/>
          <w:szCs w:val="32"/>
        </w:rPr>
      </w:pPr>
      <w:r>
        <w:rPr>
          <w:rFonts w:hint="eastAsia" w:ascii="仿宋" w:hAnsi="仿宋" w:eastAsia="仿宋" w:cs="仿宋"/>
          <w:bCs/>
          <w:sz w:val="32"/>
          <w:szCs w:val="32"/>
        </w:rPr>
        <w:t>八、一般公共预算财政拨款“三公”经费支出决算情况说明</w:t>
      </w:r>
    </w:p>
    <w:p>
      <w:pPr>
        <w:pStyle w:val="7"/>
        <w:shd w:val="clear" w:color="auto" w:fill="FFFFFF"/>
        <w:tabs>
          <w:tab w:val="right" w:leader="dot" w:pos="8306"/>
        </w:tabs>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t>7</w:t>
      </w:r>
    </w:p>
    <w:p>
      <w:pPr>
        <w:shd w:val="clear" w:color="auto" w:fill="FFFFFF"/>
        <w:spacing w:before="100" w:beforeAutospacing="1" w:after="100" w:afterAutospacing="1"/>
        <w:rPr>
          <w:rFonts w:ascii="仿宋" w:hAnsi="仿宋" w:eastAsia="仿宋" w:cs="仿宋"/>
          <w:sz w:val="32"/>
          <w:szCs w:val="32"/>
        </w:rPr>
      </w:pPr>
      <w:r>
        <w:rPr>
          <w:rFonts w:hint="eastAsia" w:ascii="仿宋" w:hAnsi="仿宋" w:eastAsia="仿宋" w:cs="仿宋"/>
          <w:bCs/>
          <w:sz w:val="32"/>
          <w:szCs w:val="32"/>
        </w:rPr>
        <w:t>九、政府性基金预算财政拨款“三公”经费支出决算情况说明</w:t>
      </w:r>
    </w:p>
    <w:p>
      <w:pPr>
        <w:pStyle w:val="7"/>
        <w:shd w:val="clear" w:color="auto" w:fill="FFFFFF"/>
        <w:tabs>
          <w:tab w:val="right" w:leader="dot" w:pos="8306"/>
        </w:tabs>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t>7</w:t>
      </w:r>
    </w:p>
    <w:p>
      <w:pPr>
        <w:pStyle w:val="7"/>
        <w:shd w:val="clear" w:color="auto" w:fill="FFFFFF"/>
        <w:tabs>
          <w:tab w:val="right" w:leader="dot" w:pos="8306"/>
        </w:tabs>
        <w:rPr>
          <w:rFonts w:ascii="仿宋" w:hAnsi="仿宋" w:eastAsia="仿宋" w:cs="仿宋"/>
          <w:sz w:val="32"/>
          <w:szCs w:val="32"/>
        </w:rPr>
      </w:pPr>
      <w:r>
        <w:rPr>
          <w:rFonts w:hint="eastAsia" w:ascii="仿宋" w:hAnsi="仿宋" w:eastAsia="仿宋" w:cs="仿宋"/>
          <w:sz w:val="32"/>
          <w:szCs w:val="32"/>
        </w:rPr>
        <w:t>十、资产负债决算</w:t>
      </w:r>
      <w:r>
        <w:rPr>
          <w:rFonts w:hint="eastAsia" w:ascii="仿宋" w:hAnsi="仿宋" w:eastAsia="仿宋" w:cs="仿宋"/>
          <w:bCs/>
          <w:sz w:val="32"/>
          <w:szCs w:val="32"/>
        </w:rPr>
        <w:t>情况说明</w:t>
      </w:r>
      <w:r>
        <w:rPr>
          <w:rFonts w:hint="eastAsia" w:ascii="仿宋" w:hAnsi="仿宋" w:eastAsia="仿宋" w:cs="仿宋"/>
          <w:sz w:val="32"/>
          <w:szCs w:val="32"/>
        </w:rPr>
        <w:tab/>
      </w:r>
      <w:r>
        <w:rPr>
          <w:rFonts w:hint="eastAsia" w:ascii="仿宋" w:hAnsi="仿宋" w:eastAsia="仿宋" w:cs="仿宋"/>
          <w:sz w:val="32"/>
          <w:szCs w:val="32"/>
        </w:rPr>
        <w:t>5</w:t>
      </w:r>
    </w:p>
    <w:p>
      <w:pPr>
        <w:pStyle w:val="7"/>
        <w:shd w:val="clear" w:color="auto" w:fill="FFFFFF"/>
        <w:tabs>
          <w:tab w:val="right" w:leader="dot" w:pos="8306"/>
        </w:tabs>
        <w:rPr>
          <w:rFonts w:ascii="仿宋" w:hAnsi="仿宋" w:eastAsia="仿宋" w:cs="仿宋"/>
          <w:sz w:val="32"/>
          <w:szCs w:val="32"/>
        </w:rPr>
      </w:pPr>
      <w:r>
        <w:rPr>
          <w:rFonts w:hint="eastAsia" w:ascii="仿宋" w:hAnsi="仿宋" w:eastAsia="仿宋" w:cs="仿宋"/>
          <w:bCs/>
          <w:sz w:val="32"/>
          <w:szCs w:val="32"/>
        </w:rPr>
        <w:t>十一、预算绩效情况说明</w:t>
      </w:r>
      <w:r>
        <w:rPr>
          <w:rFonts w:hint="eastAsia" w:ascii="仿宋" w:hAnsi="仿宋" w:eastAsia="仿宋" w:cs="仿宋"/>
          <w:sz w:val="32"/>
          <w:szCs w:val="32"/>
        </w:rPr>
        <w:tab/>
      </w:r>
      <w:r>
        <w:rPr>
          <w:rFonts w:hint="eastAsia" w:ascii="仿宋" w:hAnsi="仿宋" w:eastAsia="仿宋" w:cs="仿宋"/>
          <w:sz w:val="32"/>
          <w:szCs w:val="32"/>
        </w:rPr>
        <w:t>9</w:t>
      </w:r>
    </w:p>
    <w:p>
      <w:pPr>
        <w:pStyle w:val="7"/>
        <w:shd w:val="clear" w:color="auto" w:fill="FFFFFF"/>
        <w:tabs>
          <w:tab w:val="right" w:leader="dot" w:pos="8306"/>
        </w:tabs>
        <w:rPr>
          <w:rFonts w:ascii="仿宋" w:hAnsi="仿宋" w:eastAsia="仿宋" w:cs="仿宋"/>
          <w:sz w:val="32"/>
          <w:szCs w:val="32"/>
        </w:rPr>
      </w:pPr>
      <w:r>
        <w:rPr>
          <w:rFonts w:hint="eastAsia" w:ascii="仿宋" w:hAnsi="仿宋" w:eastAsia="仿宋" w:cs="仿宋"/>
          <w:bCs/>
          <w:sz w:val="32"/>
          <w:szCs w:val="32"/>
        </w:rPr>
        <w:t>十二、其他重要事项情况说明</w:t>
      </w:r>
      <w:r>
        <w:rPr>
          <w:rFonts w:hint="eastAsia" w:ascii="仿宋" w:hAnsi="仿宋" w:eastAsia="仿宋" w:cs="仿宋"/>
          <w:sz w:val="32"/>
          <w:szCs w:val="32"/>
        </w:rPr>
        <w:tab/>
      </w:r>
      <w:r>
        <w:rPr>
          <w:rFonts w:hint="eastAsia" w:ascii="仿宋" w:hAnsi="仿宋" w:eastAsia="仿宋" w:cs="仿宋"/>
          <w:sz w:val="32"/>
          <w:szCs w:val="32"/>
        </w:rPr>
        <w:t>10</w:t>
      </w:r>
    </w:p>
    <w:p>
      <w:pPr>
        <w:pStyle w:val="6"/>
        <w:shd w:val="clear" w:color="auto" w:fill="FFFFFF"/>
        <w:tabs>
          <w:tab w:val="right" w:leader="dot" w:pos="8306"/>
        </w:tabs>
        <w:rPr>
          <w:sz w:val="32"/>
          <w:szCs w:val="32"/>
        </w:rPr>
      </w:pPr>
      <w:r>
        <w:rPr>
          <w:rFonts w:hint="eastAsia" w:ascii="黑体" w:hAnsi="ˎ̥" w:eastAsia="黑体"/>
          <w:sz w:val="32"/>
          <w:szCs w:val="32"/>
        </w:rPr>
        <w:t>第四部分  名词解释</w:t>
      </w:r>
      <w:r>
        <w:rPr>
          <w:sz w:val="32"/>
          <w:szCs w:val="32"/>
        </w:rPr>
        <w:tab/>
      </w:r>
      <w:bookmarkStart w:id="1" w:name="_Toc15425_WPSOffice_Level1Page"/>
      <w:r>
        <w:rPr>
          <w:sz w:val="32"/>
          <w:szCs w:val="32"/>
        </w:rPr>
        <w:t>1</w:t>
      </w:r>
      <w:bookmarkEnd w:id="1"/>
      <w:r>
        <w:rPr>
          <w:sz w:val="32"/>
          <w:szCs w:val="32"/>
        </w:rPr>
        <w:t>1</w:t>
      </w:r>
      <w:bookmarkEnd w:id="0"/>
      <w:r>
        <w:t>{C}</w:t>
      </w:r>
    </w:p>
    <w:p>
      <w:pPr>
        <w:shd w:val="clear" w:color="auto" w:fill="FFFFFF"/>
        <w:spacing w:before="100" w:beforeAutospacing="1" w:after="100" w:afterAutospacing="1"/>
        <w:rPr>
          <w:rFonts w:ascii="黑体" w:hAnsi="黑体" w:eastAsia="黑体" w:cs="黑体"/>
          <w:sz w:val="32"/>
          <w:szCs w:val="32"/>
        </w:rPr>
      </w:pPr>
    </w:p>
    <w:p>
      <w:pPr>
        <w:shd w:val="clear" w:color="auto" w:fill="FFFFFF"/>
        <w:spacing w:before="100" w:beforeAutospacing="1" w:after="100" w:afterAutospacing="1"/>
        <w:jc w:val="center"/>
        <w:rPr>
          <w:rFonts w:ascii="黑体" w:hAnsi="ˎ̥" w:eastAsia="黑体"/>
          <w:b/>
          <w:sz w:val="32"/>
          <w:szCs w:val="32"/>
        </w:rPr>
      </w:pPr>
    </w:p>
    <w:p>
      <w:pPr>
        <w:shd w:val="clear" w:color="auto" w:fill="FFFFFF"/>
        <w:spacing w:before="100" w:beforeAutospacing="1" w:after="100" w:afterAutospacing="1"/>
        <w:jc w:val="center"/>
        <w:rPr>
          <w:rFonts w:ascii="黑体" w:hAnsi="ˎ̥" w:eastAsia="黑体"/>
          <w:b/>
          <w:sz w:val="32"/>
          <w:szCs w:val="32"/>
        </w:rPr>
      </w:pPr>
    </w:p>
    <w:p>
      <w:pPr>
        <w:shd w:val="clear" w:color="auto" w:fill="FFFFFF"/>
        <w:spacing w:before="100" w:beforeAutospacing="1" w:after="100" w:afterAutospacing="1"/>
        <w:jc w:val="center"/>
        <w:rPr>
          <w:rFonts w:ascii="黑体" w:hAnsi="ˎ̥" w:eastAsia="黑体"/>
          <w:b/>
          <w:sz w:val="32"/>
          <w:szCs w:val="32"/>
        </w:rPr>
      </w:pPr>
    </w:p>
    <w:p>
      <w:pPr>
        <w:shd w:val="clear" w:color="auto" w:fill="FFFFFF"/>
        <w:spacing w:before="100" w:beforeAutospacing="1" w:after="100" w:afterAutospacing="1"/>
        <w:jc w:val="center"/>
        <w:rPr>
          <w:rFonts w:ascii="黑体" w:hAnsi="ˎ̥" w:eastAsia="黑体"/>
          <w:b/>
          <w:sz w:val="32"/>
          <w:szCs w:val="32"/>
        </w:rPr>
      </w:pPr>
    </w:p>
    <w:p>
      <w:pPr>
        <w:shd w:val="clear" w:color="auto" w:fill="FFFFFF"/>
        <w:spacing w:before="100" w:beforeAutospacing="1" w:after="100" w:afterAutospacing="1"/>
        <w:jc w:val="center"/>
        <w:rPr>
          <w:rFonts w:ascii="黑体" w:hAnsi="ˎ̥" w:eastAsia="黑体"/>
          <w:b/>
          <w:sz w:val="32"/>
          <w:szCs w:val="32"/>
        </w:rPr>
      </w:pPr>
    </w:p>
    <w:p>
      <w:pPr>
        <w:shd w:val="clear" w:color="auto" w:fill="FFFFFF"/>
        <w:spacing w:before="100" w:beforeAutospacing="1" w:after="100" w:afterAutospacing="1"/>
        <w:jc w:val="center"/>
        <w:rPr>
          <w:rFonts w:ascii="黑体" w:hAnsi="ˎ̥" w:eastAsia="黑体"/>
          <w:sz w:val="32"/>
          <w:szCs w:val="32"/>
        </w:rPr>
      </w:pPr>
      <w:bookmarkStart w:id="2" w:name="_Toc10720_WPSOffice_Level1"/>
      <w:bookmarkStart w:id="3" w:name="_Toc32433_WPSOffice_Level1"/>
      <w:bookmarkStart w:id="4" w:name="_Toc22941_WPSOffice_Level1"/>
      <w:bookmarkStart w:id="5" w:name="_Toc10049_WPSOffice_Level1"/>
      <w:bookmarkStart w:id="6" w:name="_Toc23465_WPSOffice_Level1"/>
      <w:bookmarkStart w:id="7" w:name="_Toc1704_WPSOffice_Level1"/>
      <w:bookmarkStart w:id="8" w:name="_Toc24238_WPSOffice_Level2"/>
      <w:bookmarkStart w:id="9" w:name="_Toc20274_WPSOffice_Level2"/>
      <w:bookmarkStart w:id="10" w:name="_Toc20205_WPSOffice_Level2"/>
      <w:bookmarkStart w:id="11" w:name="_Toc14159_WPSOffice_Level2"/>
      <w:bookmarkStart w:id="12" w:name="_Toc26580_WPSOffice_Level2"/>
      <w:bookmarkStart w:id="13" w:name="_Toc32622_WPSOffice_Level2"/>
      <w:r>
        <w:rPr>
          <w:rFonts w:hint="eastAsia" w:ascii="黑体" w:hAnsi="ˎ̥" w:eastAsia="黑体"/>
          <w:sz w:val="32"/>
          <w:szCs w:val="32"/>
        </w:rPr>
        <w:t>第一部分  海口市政府服务中心部门概况</w:t>
      </w:r>
      <w:bookmarkEnd w:id="2"/>
      <w:bookmarkEnd w:id="3"/>
      <w:bookmarkEnd w:id="4"/>
      <w:bookmarkEnd w:id="5"/>
      <w:bookmarkEnd w:id="6"/>
      <w:bookmarkEnd w:id="7"/>
    </w:p>
    <w:p>
      <w:pPr>
        <w:shd w:val="clear" w:color="auto" w:fill="FFFFFF"/>
        <w:spacing w:before="100" w:beforeAutospacing="1" w:after="100" w:afterAutospacing="1"/>
        <w:ind w:firstLine="640" w:firstLineChars="200"/>
        <w:rPr>
          <w:rFonts w:ascii="楷体" w:hAnsi="楷体" w:eastAsia="楷体" w:cs="楷体"/>
          <w:sz w:val="32"/>
          <w:szCs w:val="32"/>
        </w:rPr>
      </w:pPr>
    </w:p>
    <w:p>
      <w:pPr>
        <w:numPr>
          <w:ilvl w:val="0"/>
          <w:numId w:val="1"/>
        </w:numPr>
        <w:shd w:val="clear" w:color="auto" w:fill="FFFFFF"/>
        <w:spacing w:before="100" w:beforeAutospacing="1" w:after="100" w:afterAutospacing="1"/>
        <w:ind w:firstLine="640" w:firstLineChars="200"/>
        <w:rPr>
          <w:rFonts w:hint="eastAsia" w:ascii="黑体" w:hAnsi="黑体" w:eastAsia="黑体" w:cs="黑体"/>
          <w:sz w:val="32"/>
          <w:szCs w:val="32"/>
        </w:rPr>
      </w:pPr>
      <w:r>
        <w:rPr>
          <w:rFonts w:hint="eastAsia" w:ascii="黑体" w:hAnsi="黑体" w:eastAsia="黑体" w:cs="黑体"/>
          <w:sz w:val="32"/>
          <w:szCs w:val="32"/>
        </w:rPr>
        <w:t>部门</w:t>
      </w:r>
      <w:bookmarkEnd w:id="8"/>
      <w:r>
        <w:rPr>
          <w:rFonts w:hint="eastAsia" w:ascii="黑体" w:hAnsi="黑体" w:eastAsia="黑体" w:cs="黑体"/>
          <w:sz w:val="32"/>
          <w:szCs w:val="32"/>
        </w:rPr>
        <w:t>职责</w:t>
      </w:r>
      <w:bookmarkEnd w:id="9"/>
      <w:bookmarkEnd w:id="10"/>
      <w:bookmarkEnd w:id="11"/>
      <w:bookmarkEnd w:id="12"/>
      <w:bookmarkEnd w:id="13"/>
    </w:p>
    <w:p>
      <w:pPr>
        <w:pStyle w:val="10"/>
        <w:ind w:left="720" w:firstLine="0" w:firstLineChars="0"/>
        <w:jc w:val="left"/>
        <w:rPr>
          <w:rFonts w:ascii="黑体" w:hAnsi="黑体" w:eastAsia="黑体" w:cs="仿宋_GB2312"/>
          <w:sz w:val="32"/>
          <w:szCs w:val="32"/>
        </w:rPr>
      </w:pPr>
      <w:r>
        <w:rPr>
          <w:rFonts w:hint="eastAsia" w:ascii="黑体" w:hAnsi="黑体" w:eastAsia="黑体" w:cs="仿宋_GB2312"/>
          <w:sz w:val="32"/>
          <w:szCs w:val="32"/>
        </w:rPr>
        <w:t>海口市政府服务中心职责</w:t>
      </w:r>
    </w:p>
    <w:p>
      <w:pPr>
        <w:rPr>
          <w:rFonts w:hint="eastAsia" w:ascii="仿宋_GB2312" w:hAnsi="Calibri" w:eastAsia="仿宋_GB2312"/>
          <w:sz w:val="32"/>
          <w:szCs w:val="32"/>
        </w:rPr>
      </w:pPr>
      <w:r>
        <w:rPr>
          <w:rFonts w:hint="eastAsia" w:ascii="仿宋_GB2312" w:eastAsia="仿宋_GB2312"/>
          <w:sz w:val="32"/>
          <w:szCs w:val="32"/>
        </w:rPr>
        <w:t xml:space="preserve">    1、根据《海口市机构编制委员会关于调整海口市政府服务中心机构编制的批复》（海编[2008]63号）设立海口市政府服务中心</w:t>
      </w:r>
      <w:r>
        <w:rPr>
          <w:rFonts w:hint="eastAsia" w:ascii="仿宋_GB2312" w:eastAsia="仿宋_GB2312"/>
          <w:color w:val="0000FF"/>
          <w:sz w:val="32"/>
          <w:szCs w:val="32"/>
        </w:rPr>
        <w:t>，</w:t>
      </w:r>
      <w:r>
        <w:rPr>
          <w:rFonts w:hint="eastAsia" w:ascii="仿宋_GB2312" w:eastAsia="仿宋_GB2312"/>
          <w:sz w:val="32"/>
          <w:szCs w:val="32"/>
        </w:rPr>
        <w:t>做为主管全市政务服务工作的部门。根据上述文件，</w:t>
      </w:r>
      <w:r>
        <w:rPr>
          <w:rFonts w:hint="eastAsia" w:ascii="仿宋_GB2312" w:eastAsia="仿宋_GB2312"/>
          <w:color w:val="000000"/>
          <w:sz w:val="32"/>
          <w:szCs w:val="32"/>
        </w:rPr>
        <w:t>本部门主要</w:t>
      </w:r>
      <w:r>
        <w:rPr>
          <w:rFonts w:hint="eastAsia" w:ascii="仿宋_GB2312" w:eastAsia="仿宋_GB2312"/>
          <w:sz w:val="32"/>
          <w:szCs w:val="32"/>
        </w:rPr>
        <w:t>负责履行以下职责：</w:t>
      </w:r>
    </w:p>
    <w:p>
      <w:pPr>
        <w:numPr>
          <w:ilvl w:val="0"/>
          <w:numId w:val="2"/>
        </w:numPr>
        <w:ind w:firstLine="640" w:firstLineChars="200"/>
        <w:rPr>
          <w:rFonts w:hint="eastAsia" w:ascii="仿宋_GB2312" w:eastAsia="仿宋_GB2312"/>
          <w:sz w:val="32"/>
          <w:szCs w:val="32"/>
        </w:rPr>
      </w:pPr>
      <w:r>
        <w:rPr>
          <w:rFonts w:hint="eastAsia" w:ascii="仿宋_GB2312" w:eastAsia="仿宋_GB2312"/>
          <w:sz w:val="32"/>
          <w:szCs w:val="32"/>
        </w:rPr>
        <w:t>负责制定政府服务中心运作程序和规则，指导各进驻单位依法规范运作。</w:t>
      </w:r>
    </w:p>
    <w:p>
      <w:pPr>
        <w:numPr>
          <w:ilvl w:val="0"/>
          <w:numId w:val="2"/>
        </w:numPr>
        <w:ind w:firstLine="640" w:firstLineChars="200"/>
        <w:rPr>
          <w:rFonts w:hint="eastAsia" w:ascii="仿宋_GB2312" w:eastAsia="仿宋_GB2312"/>
          <w:sz w:val="32"/>
          <w:szCs w:val="32"/>
        </w:rPr>
      </w:pPr>
      <w:r>
        <w:rPr>
          <w:rFonts w:hint="eastAsia" w:ascii="仿宋_GB2312" w:eastAsia="仿宋_GB2312"/>
          <w:sz w:val="32"/>
          <w:szCs w:val="32"/>
        </w:rPr>
        <w:t>配合法制部门对进入中心的行政许可、行政审批项目进行筛选、确定和调整。</w:t>
      </w:r>
    </w:p>
    <w:p>
      <w:pPr>
        <w:numPr>
          <w:ilvl w:val="0"/>
          <w:numId w:val="2"/>
        </w:numPr>
        <w:ind w:firstLine="640" w:firstLineChars="200"/>
        <w:rPr>
          <w:rFonts w:hint="eastAsia" w:ascii="仿宋_GB2312" w:eastAsia="仿宋_GB2312"/>
          <w:sz w:val="32"/>
          <w:szCs w:val="32"/>
        </w:rPr>
      </w:pPr>
      <w:r>
        <w:rPr>
          <w:rFonts w:hint="eastAsia" w:ascii="仿宋_GB2312" w:eastAsia="仿宋_GB2312"/>
          <w:sz w:val="32"/>
          <w:szCs w:val="32"/>
        </w:rPr>
        <w:t>组织有关职能部门集中受理进入中心的各类行政许可、行政审批、行政服务和招标投标项目。</w:t>
      </w:r>
    </w:p>
    <w:p>
      <w:pPr>
        <w:numPr>
          <w:ilvl w:val="0"/>
          <w:numId w:val="2"/>
        </w:numPr>
        <w:ind w:firstLine="640" w:firstLineChars="200"/>
        <w:rPr>
          <w:rFonts w:hint="eastAsia" w:ascii="仿宋_GB2312" w:eastAsia="仿宋_GB2312"/>
          <w:sz w:val="32"/>
          <w:szCs w:val="32"/>
        </w:rPr>
      </w:pPr>
      <w:r>
        <w:rPr>
          <w:rFonts w:hint="eastAsia" w:ascii="仿宋_GB2312" w:eastAsia="仿宋_GB2312"/>
          <w:sz w:val="32"/>
          <w:szCs w:val="32"/>
        </w:rPr>
        <w:t>负责对行政许可、行政审批、行政服务和招标投标项目进行集中受理、跟踪、督办和催办。</w:t>
      </w:r>
    </w:p>
    <w:p>
      <w:pPr>
        <w:numPr>
          <w:ilvl w:val="0"/>
          <w:numId w:val="2"/>
        </w:numPr>
        <w:ind w:firstLine="640" w:firstLineChars="200"/>
        <w:rPr>
          <w:rFonts w:hint="eastAsia" w:ascii="仿宋_GB2312" w:eastAsia="仿宋_GB2312"/>
          <w:sz w:val="32"/>
          <w:szCs w:val="32"/>
        </w:rPr>
      </w:pPr>
      <w:r>
        <w:rPr>
          <w:rFonts w:hint="eastAsia" w:ascii="仿宋_GB2312" w:eastAsia="仿宋_GB2312"/>
          <w:sz w:val="32"/>
          <w:szCs w:val="32"/>
        </w:rPr>
        <w:t>负责协调进驻中心的各部门之间的工作关系，明时处理中心运作中存在的问题。</w:t>
      </w:r>
    </w:p>
    <w:p>
      <w:pPr>
        <w:numPr>
          <w:ilvl w:val="0"/>
          <w:numId w:val="2"/>
        </w:numPr>
        <w:ind w:firstLine="640" w:firstLineChars="200"/>
        <w:rPr>
          <w:rFonts w:hint="eastAsia" w:ascii="仿宋_GB2312" w:eastAsia="仿宋_GB2312"/>
          <w:sz w:val="32"/>
          <w:szCs w:val="32"/>
        </w:rPr>
      </w:pPr>
      <w:r>
        <w:rPr>
          <w:rFonts w:hint="eastAsia" w:ascii="仿宋_GB2312" w:eastAsia="仿宋_GB2312"/>
          <w:sz w:val="32"/>
          <w:szCs w:val="32"/>
        </w:rPr>
        <w:t>负责受理并处理申办人有关中心各行政审批服务项目的投诉。</w:t>
      </w:r>
    </w:p>
    <w:p>
      <w:pPr>
        <w:numPr>
          <w:ilvl w:val="0"/>
          <w:numId w:val="2"/>
        </w:numPr>
        <w:ind w:firstLine="640" w:firstLineChars="200"/>
        <w:rPr>
          <w:rFonts w:hint="eastAsia" w:ascii="仿宋_GB2312" w:eastAsia="仿宋_GB2312"/>
          <w:sz w:val="32"/>
          <w:szCs w:val="32"/>
        </w:rPr>
      </w:pPr>
      <w:r>
        <w:rPr>
          <w:rFonts w:hint="eastAsia" w:ascii="仿宋_GB2312" w:eastAsia="仿宋_GB2312"/>
          <w:sz w:val="32"/>
          <w:szCs w:val="32"/>
        </w:rPr>
        <w:t>负责12345政府服务热线发展规划、各项运行管理办法的制定。</w:t>
      </w:r>
    </w:p>
    <w:p>
      <w:pPr>
        <w:numPr>
          <w:ilvl w:val="0"/>
          <w:numId w:val="2"/>
        </w:numPr>
        <w:ind w:firstLine="640" w:firstLineChars="200"/>
        <w:rPr>
          <w:rFonts w:hint="eastAsia" w:ascii="仿宋_GB2312" w:eastAsia="仿宋_GB2312"/>
          <w:sz w:val="32"/>
          <w:szCs w:val="32"/>
        </w:rPr>
      </w:pPr>
      <w:r>
        <w:rPr>
          <w:rFonts w:hint="eastAsia" w:ascii="仿宋_GB2312" w:eastAsia="仿宋_GB2312"/>
          <w:sz w:val="32"/>
          <w:szCs w:val="32"/>
        </w:rPr>
        <w:t>负责12345政府服务热线信息知识库的采集分类、整理、审核录入工作。</w:t>
      </w:r>
    </w:p>
    <w:p>
      <w:pPr>
        <w:numPr>
          <w:ilvl w:val="0"/>
          <w:numId w:val="2"/>
        </w:numPr>
        <w:ind w:firstLine="640" w:firstLineChars="200"/>
        <w:rPr>
          <w:rFonts w:hint="eastAsia" w:ascii="仿宋_GB2312" w:eastAsia="仿宋_GB2312"/>
          <w:sz w:val="32"/>
          <w:szCs w:val="32"/>
        </w:rPr>
      </w:pPr>
      <w:r>
        <w:rPr>
          <w:rFonts w:hint="eastAsia" w:ascii="仿宋_GB2312" w:eastAsia="仿宋_GB2312"/>
          <w:sz w:val="32"/>
          <w:szCs w:val="32"/>
        </w:rPr>
        <w:t>负责对各区、各职能部门、各热线成员单位和各有关部门办理市民咨询、求助、投诉情况进行协调、并到现场调查处理、组织综合评定，定期通报考评结果。</w:t>
      </w:r>
    </w:p>
    <w:p>
      <w:pPr>
        <w:numPr>
          <w:ilvl w:val="0"/>
          <w:numId w:val="2"/>
        </w:numPr>
        <w:ind w:firstLine="640" w:firstLineChars="200"/>
        <w:rPr>
          <w:rFonts w:hint="eastAsia" w:ascii="仿宋_GB2312" w:eastAsia="仿宋_GB2312"/>
          <w:sz w:val="32"/>
          <w:szCs w:val="32"/>
        </w:rPr>
      </w:pPr>
      <w:r>
        <w:rPr>
          <w:rFonts w:hint="eastAsia" w:ascii="仿宋_GB2312" w:eastAsia="仿宋_GB2312"/>
          <w:sz w:val="32"/>
          <w:szCs w:val="32"/>
        </w:rPr>
        <w:t>负责收集、整理、分析市民反映的有关信息，及时向市领导报告社情民意。</w:t>
      </w:r>
    </w:p>
    <w:p>
      <w:pPr>
        <w:numPr>
          <w:ilvl w:val="0"/>
          <w:numId w:val="2"/>
        </w:numPr>
        <w:ind w:firstLine="640" w:firstLineChars="200"/>
        <w:rPr>
          <w:rFonts w:hint="eastAsia" w:ascii="仿宋_GB2312" w:eastAsia="仿宋_GB2312"/>
          <w:sz w:val="32"/>
          <w:szCs w:val="32"/>
        </w:rPr>
      </w:pPr>
      <w:r>
        <w:rPr>
          <w:rFonts w:hint="eastAsia" w:ascii="仿宋_GB2312" w:eastAsia="仿宋_GB2312"/>
          <w:sz w:val="32"/>
          <w:szCs w:val="32"/>
        </w:rPr>
        <w:t>负责协调与电信、信息中心的工作关系，确保12345政府服务热线的正常运转。</w:t>
      </w:r>
    </w:p>
    <w:p>
      <w:pPr>
        <w:numPr>
          <w:ilvl w:val="0"/>
          <w:numId w:val="2"/>
        </w:numPr>
        <w:ind w:firstLine="640" w:firstLineChars="200"/>
        <w:rPr>
          <w:rFonts w:hint="eastAsia" w:ascii="仿宋_GB2312" w:eastAsia="仿宋_GB2312"/>
          <w:sz w:val="32"/>
          <w:szCs w:val="32"/>
        </w:rPr>
      </w:pPr>
      <w:r>
        <w:rPr>
          <w:rFonts w:hint="eastAsia" w:ascii="仿宋_GB2312" w:eastAsia="仿宋_GB2312"/>
          <w:sz w:val="32"/>
          <w:szCs w:val="32"/>
        </w:rPr>
        <w:t>负责计算机等电子设备及自动化办公系统的技术维护和软件升级等方面的工作，保障中心各项工作规范、有序、高效运作。</w:t>
      </w:r>
    </w:p>
    <w:p>
      <w:pPr>
        <w:numPr>
          <w:ilvl w:val="0"/>
          <w:numId w:val="2"/>
        </w:numPr>
        <w:ind w:firstLine="640" w:firstLineChars="200"/>
        <w:rPr>
          <w:rFonts w:hint="eastAsia" w:ascii="仿宋_GB2312" w:eastAsia="仿宋_GB2312"/>
          <w:sz w:val="32"/>
          <w:szCs w:val="32"/>
        </w:rPr>
      </w:pPr>
      <w:r>
        <w:rPr>
          <w:rFonts w:hint="eastAsia" w:ascii="仿宋_GB2312" w:eastAsia="仿宋_GB2312"/>
          <w:sz w:val="32"/>
          <w:szCs w:val="32"/>
        </w:rPr>
        <w:t>为中心正常运作提供后勤保障与服务。</w:t>
      </w:r>
    </w:p>
    <w:p>
      <w:pPr>
        <w:numPr>
          <w:ilvl w:val="0"/>
          <w:numId w:val="2"/>
        </w:numPr>
        <w:ind w:firstLine="640" w:firstLineChars="200"/>
        <w:rPr>
          <w:rFonts w:hint="eastAsia" w:ascii="仿宋_GB2312" w:eastAsia="仿宋_GB2312"/>
          <w:sz w:val="32"/>
          <w:szCs w:val="32"/>
        </w:rPr>
      </w:pPr>
      <w:r>
        <w:rPr>
          <w:rFonts w:hint="eastAsia" w:ascii="仿宋_GB2312" w:eastAsia="仿宋_GB2312"/>
          <w:sz w:val="32"/>
          <w:szCs w:val="32"/>
        </w:rPr>
        <w:t>负责各单位进驻中心人员的培训、管理和考核工作。</w:t>
      </w:r>
    </w:p>
    <w:p>
      <w:pPr>
        <w:rPr>
          <w:rFonts w:hint="eastAsia" w:ascii="仿宋_GB2312" w:eastAsia="仿宋_GB2312"/>
          <w:sz w:val="32"/>
          <w:szCs w:val="32"/>
        </w:rPr>
      </w:pPr>
      <w:r>
        <w:rPr>
          <w:rFonts w:hint="eastAsia" w:ascii="仿宋_GB2312" w:eastAsia="仿宋_GB2312"/>
          <w:sz w:val="32"/>
          <w:szCs w:val="32"/>
        </w:rPr>
        <w:t xml:space="preserve">     2、下属事业单位:公共资源交易中心职责</w:t>
      </w:r>
    </w:p>
    <w:p>
      <w:pPr>
        <w:pStyle w:val="11"/>
        <w:ind w:firstLine="620"/>
        <w:jc w:val="both"/>
        <w:rPr>
          <w:rFonts w:hint="eastAsia" w:cs="Times New Roman"/>
          <w:color w:val="auto"/>
          <w:sz w:val="32"/>
          <w:szCs w:val="32"/>
        </w:rPr>
      </w:pPr>
      <w:r>
        <w:rPr>
          <w:rFonts w:hint="eastAsia" w:cs="Times New Roman"/>
          <w:color w:val="auto"/>
          <w:sz w:val="32"/>
          <w:szCs w:val="32"/>
        </w:rPr>
        <w:t xml:space="preserve">（一）贯彻实施公共资源交易服务相关法律、法规和规章、政策，为公共资源交易活动提供场所、设施和服务。 </w:t>
      </w:r>
    </w:p>
    <w:p>
      <w:pPr>
        <w:pStyle w:val="11"/>
        <w:ind w:firstLine="620"/>
        <w:jc w:val="both"/>
        <w:rPr>
          <w:rFonts w:hint="eastAsia" w:cs="Times New Roman"/>
          <w:color w:val="auto"/>
          <w:sz w:val="32"/>
          <w:szCs w:val="32"/>
        </w:rPr>
      </w:pPr>
      <w:r>
        <w:rPr>
          <w:rFonts w:hint="eastAsia" w:cs="Times New Roman"/>
          <w:color w:val="auto"/>
          <w:sz w:val="32"/>
          <w:szCs w:val="32"/>
        </w:rPr>
        <w:t xml:space="preserve">（二）负责我市国有产权及国有控股产权交易、公共资源出让和许可等其他具有公有性、公益性的资源项目交易服务。 </w:t>
      </w:r>
    </w:p>
    <w:p>
      <w:pPr>
        <w:pStyle w:val="11"/>
        <w:ind w:firstLine="620"/>
        <w:jc w:val="both"/>
        <w:rPr>
          <w:rFonts w:hint="eastAsia" w:cs="Times New Roman"/>
          <w:color w:val="auto"/>
          <w:sz w:val="32"/>
          <w:szCs w:val="32"/>
        </w:rPr>
      </w:pPr>
      <w:r>
        <w:rPr>
          <w:rFonts w:hint="eastAsia" w:cs="Times New Roman"/>
          <w:color w:val="auto"/>
          <w:sz w:val="32"/>
          <w:szCs w:val="32"/>
        </w:rPr>
        <w:t xml:space="preserve">（三）承担交易申报材料的受理审核、信息发布、专家抽取、秩序管理、数据统计、档案管理等服务工作。 </w:t>
      </w:r>
    </w:p>
    <w:p>
      <w:pPr>
        <w:pStyle w:val="11"/>
        <w:ind w:firstLine="640"/>
        <w:jc w:val="both"/>
        <w:rPr>
          <w:rFonts w:hint="eastAsia" w:cs="Times New Roman"/>
          <w:color w:val="auto"/>
          <w:sz w:val="32"/>
          <w:szCs w:val="32"/>
        </w:rPr>
      </w:pPr>
      <w:r>
        <w:rPr>
          <w:rFonts w:hint="eastAsia" w:cs="Times New Roman"/>
          <w:color w:val="auto"/>
          <w:sz w:val="32"/>
          <w:szCs w:val="32"/>
        </w:rPr>
        <w:t xml:space="preserve">（四）会同有关主管部门制定公共资源交易现场管理规章制度、工作流程并组织实施。 </w:t>
      </w:r>
    </w:p>
    <w:p>
      <w:pPr>
        <w:pStyle w:val="11"/>
        <w:ind w:firstLine="620"/>
        <w:jc w:val="both"/>
        <w:rPr>
          <w:rFonts w:hint="eastAsia" w:cs="Times New Roman"/>
          <w:color w:val="auto"/>
          <w:sz w:val="32"/>
          <w:szCs w:val="32"/>
        </w:rPr>
      </w:pPr>
      <w:r>
        <w:rPr>
          <w:rFonts w:hint="eastAsia" w:cs="Times New Roman"/>
          <w:color w:val="auto"/>
          <w:sz w:val="32"/>
          <w:szCs w:val="32"/>
        </w:rPr>
        <w:t xml:space="preserve">（五）负责进场交易的公共资源项目现场服务和管理工作，为交易各方主体提供咨询服务。 </w:t>
      </w:r>
    </w:p>
    <w:p>
      <w:pPr>
        <w:pStyle w:val="11"/>
        <w:ind w:firstLine="640"/>
        <w:jc w:val="both"/>
        <w:rPr>
          <w:rFonts w:hint="eastAsia" w:cs="Times New Roman"/>
          <w:color w:val="auto"/>
          <w:sz w:val="32"/>
          <w:szCs w:val="32"/>
        </w:rPr>
      </w:pPr>
      <w:r>
        <w:rPr>
          <w:rFonts w:hint="eastAsia" w:cs="Times New Roman"/>
          <w:color w:val="auto"/>
          <w:sz w:val="32"/>
          <w:szCs w:val="32"/>
        </w:rPr>
        <w:t xml:space="preserve">（六）负责公共资源交易信息平台建设和技术维护；负责项目交易现场开标、评标纪律监督管理工作。 </w:t>
      </w:r>
    </w:p>
    <w:p>
      <w:pPr>
        <w:pStyle w:val="11"/>
        <w:ind w:firstLine="640"/>
        <w:jc w:val="both"/>
        <w:rPr>
          <w:rFonts w:hint="eastAsia" w:cs="Times New Roman"/>
          <w:color w:val="auto"/>
          <w:sz w:val="32"/>
          <w:szCs w:val="32"/>
        </w:rPr>
      </w:pPr>
      <w:r>
        <w:rPr>
          <w:rFonts w:hint="eastAsia" w:cs="Times New Roman"/>
          <w:color w:val="auto"/>
          <w:sz w:val="32"/>
          <w:szCs w:val="32"/>
        </w:rPr>
        <w:t xml:space="preserve">（七）协助有关部门处理交易活动中产生的争议和纠纷。 </w:t>
      </w:r>
    </w:p>
    <w:p>
      <w:pPr>
        <w:rPr>
          <w:rFonts w:hint="eastAsia" w:ascii="仿宋_GB2312" w:eastAsia="仿宋_GB2312"/>
          <w:sz w:val="32"/>
          <w:szCs w:val="32"/>
        </w:rPr>
      </w:pPr>
      <w:r>
        <w:rPr>
          <w:rFonts w:hint="eastAsia" w:ascii="仿宋_GB2312" w:eastAsia="仿宋_GB2312"/>
          <w:sz w:val="32"/>
          <w:szCs w:val="32"/>
        </w:rPr>
        <w:t xml:space="preserve">    （八）承办上级部门交办的其他工作任务</w:t>
      </w:r>
      <w:r>
        <w:rPr>
          <w:rFonts w:hint="eastAsia"/>
          <w:sz w:val="32"/>
          <w:szCs w:val="32"/>
        </w:rPr>
        <w:t>。</w:t>
      </w:r>
    </w:p>
    <w:p>
      <w:pPr>
        <w:shd w:val="clear" w:color="auto" w:fill="FFFFFF"/>
        <w:spacing w:before="100" w:beforeAutospacing="1" w:after="100" w:afterAutospacing="1"/>
        <w:ind w:firstLine="640" w:firstLineChars="200"/>
        <w:rPr>
          <w:rFonts w:ascii="黑体" w:hAnsi="黑体" w:eastAsia="黑体" w:cs="黑体"/>
          <w:sz w:val="32"/>
          <w:szCs w:val="32"/>
        </w:rPr>
      </w:pPr>
      <w:bookmarkStart w:id="14" w:name="_Toc6572_WPSOffice_Level2"/>
      <w:bookmarkStart w:id="15" w:name="_Toc4833_WPSOffice_Level2"/>
      <w:bookmarkStart w:id="16" w:name="_Toc24474_WPSOffice_Level2"/>
      <w:bookmarkStart w:id="17" w:name="_Toc24059_WPSOffice_Level2"/>
      <w:bookmarkStart w:id="18" w:name="_Toc17796_WPSOffice_Level2"/>
      <w:r>
        <w:rPr>
          <w:rFonts w:hint="eastAsia" w:ascii="黑体" w:hAnsi="黑体" w:eastAsia="黑体" w:cs="黑体"/>
          <w:sz w:val="32"/>
          <w:szCs w:val="32"/>
        </w:rPr>
        <w:t>二、机构设置</w:t>
      </w:r>
      <w:bookmarkEnd w:id="14"/>
      <w:bookmarkEnd w:id="15"/>
      <w:bookmarkEnd w:id="16"/>
      <w:bookmarkEnd w:id="17"/>
      <w:bookmarkEnd w:id="18"/>
    </w:p>
    <w:p>
      <w:pPr>
        <w:shd w:val="clear" w:color="auto" w:fill="FFFFFF"/>
        <w:spacing w:before="100" w:beforeAutospacing="1" w:after="100" w:afterAutospacing="1"/>
        <w:ind w:firstLine="640" w:firstLineChars="200"/>
        <w:rPr>
          <w:rFonts w:ascii="仿宋_GB2312" w:hAnsi="ˎ̥"/>
          <w:sz w:val="32"/>
          <w:szCs w:val="32"/>
        </w:rPr>
      </w:pPr>
      <w:r>
        <w:rPr>
          <w:rFonts w:ascii="仿宋_GB2312" w:hAnsi="ˎ̥"/>
          <w:sz w:val="32"/>
          <w:szCs w:val="32"/>
        </w:rPr>
        <w:t>纳入海南省海口市政府服务中心2018年度部门决算汇总部门2018年度部门决算编制范围的二级预算单位包括：</w:t>
      </w:r>
    </w:p>
    <w:p>
      <w:pPr>
        <w:shd w:val="clear" w:color="auto" w:fill="FFFFFF"/>
        <w:spacing w:before="100" w:beforeAutospacing="1" w:after="100" w:afterAutospacing="1"/>
        <w:ind w:firstLine="640" w:firstLineChars="200"/>
        <w:rPr>
          <w:rFonts w:ascii="楷体" w:hAnsi="楷体" w:eastAsia="楷体" w:cs="楷体"/>
          <w:sz w:val="32"/>
          <w:szCs w:val="32"/>
        </w:rPr>
      </w:pPr>
      <w:bookmarkStart w:id="19" w:name="_Toc24421_WPSOffice_Level2"/>
      <w:bookmarkStart w:id="20" w:name="_Toc25738_WPSOffice_Level2"/>
      <w:r>
        <w:rPr>
          <w:rFonts w:hint="eastAsia" w:ascii="楷体" w:hAnsi="楷体" w:eastAsia="楷体" w:cs="楷体"/>
          <w:sz w:val="32"/>
          <w:szCs w:val="32"/>
        </w:rPr>
        <w:t>（一）海南省海口市政府服务中心2018年度部门决算汇总部门本级</w:t>
      </w:r>
      <w:bookmarkEnd w:id="19"/>
      <w:bookmarkEnd w:id="20"/>
    </w:p>
    <w:p>
      <w:pPr>
        <w:pStyle w:val="11"/>
        <w:ind w:firstLine="640"/>
        <w:jc w:val="both"/>
        <w:rPr>
          <w:rFonts w:hint="eastAsia" w:cs="Times New Roman"/>
          <w:color w:val="auto"/>
          <w:sz w:val="32"/>
          <w:szCs w:val="32"/>
        </w:rPr>
      </w:pPr>
      <w:r>
        <w:rPr>
          <w:rFonts w:hint="eastAsia" w:ascii="楷体" w:hAnsi="楷体" w:eastAsia="楷体" w:cs="楷体"/>
          <w:b/>
          <w:bCs/>
          <w:sz w:val="32"/>
          <w:szCs w:val="32"/>
          <w:lang w:val="en-US" w:eastAsia="zh-CN"/>
        </w:rPr>
        <w:t xml:space="preserve"> </w:t>
      </w:r>
      <w:r>
        <w:rPr>
          <w:rFonts w:hint="eastAsia" w:cs="Times New Roman"/>
          <w:color w:val="auto"/>
          <w:sz w:val="32"/>
          <w:szCs w:val="32"/>
        </w:rPr>
        <w:t>海口市政府服务中心内设综合科、协调科、督办科、热线科四个正科级职能机构。</w:t>
      </w:r>
    </w:p>
    <w:p>
      <w:pPr>
        <w:pStyle w:val="11"/>
        <w:ind w:firstLine="640"/>
        <w:jc w:val="both"/>
        <w:rPr>
          <w:rFonts w:hint="eastAsia" w:cs="Times New Roman"/>
          <w:color w:val="auto"/>
          <w:sz w:val="32"/>
          <w:szCs w:val="32"/>
        </w:rPr>
      </w:pPr>
    </w:p>
    <w:p>
      <w:pPr>
        <w:pStyle w:val="11"/>
        <w:ind w:firstLine="640"/>
        <w:jc w:val="both"/>
        <w:rPr>
          <w:rFonts w:hint="eastAsia" w:cs="Times New Roman"/>
          <w:color w:val="auto"/>
          <w:sz w:val="32"/>
          <w:szCs w:val="32"/>
        </w:rPr>
      </w:pPr>
      <w:r>
        <w:rPr>
          <w:rFonts w:hint="eastAsia" w:cs="Times New Roman"/>
          <w:color w:val="auto"/>
          <w:sz w:val="32"/>
          <w:szCs w:val="32"/>
          <w:lang w:eastAsia="zh-CN"/>
        </w:rPr>
        <w:t>（二）</w:t>
      </w:r>
      <w:r>
        <w:rPr>
          <w:rFonts w:hint="eastAsia" w:cs="Times New Roman"/>
          <w:color w:val="auto"/>
          <w:sz w:val="32"/>
          <w:szCs w:val="32"/>
        </w:rPr>
        <w:t>海口市公共资源交易中心（下属单位）</w:t>
      </w:r>
    </w:p>
    <w:p>
      <w:pPr>
        <w:pStyle w:val="11"/>
        <w:ind w:firstLine="640"/>
        <w:jc w:val="both"/>
        <w:rPr>
          <w:rFonts w:ascii="仿宋_GB2312" w:hAnsi="ˎ̥"/>
          <w:sz w:val="32"/>
          <w:szCs w:val="32"/>
        </w:rPr>
      </w:pPr>
      <w:r>
        <w:rPr>
          <w:rFonts w:hint="eastAsia" w:cs="Times New Roman"/>
          <w:color w:val="auto"/>
          <w:sz w:val="32"/>
          <w:szCs w:val="32"/>
        </w:rPr>
        <w:t>海口市公共资源交易中心内设办公室、建设工程交易部、政府采购交易部、综合交易部、信息网络部等五个正科级职能部门。</w:t>
      </w:r>
    </w:p>
    <w:p>
      <w:pPr>
        <w:shd w:val="clear" w:color="auto" w:fill="FFFFFF"/>
        <w:spacing w:before="100" w:beforeAutospacing="1" w:after="100" w:afterAutospacing="1"/>
        <w:jc w:val="center"/>
        <w:rPr>
          <w:rFonts w:ascii="黑体" w:hAnsi="ˎ̥" w:eastAsia="黑体"/>
          <w:sz w:val="32"/>
          <w:szCs w:val="32"/>
        </w:rPr>
      </w:pPr>
      <w:bookmarkStart w:id="21" w:name="_Toc28253_WPSOffice_Level1"/>
      <w:bookmarkStart w:id="22" w:name="_Toc30451_WPSOffice_Level1"/>
      <w:bookmarkStart w:id="23" w:name="_Toc8164_WPSOffice_Level1"/>
      <w:bookmarkStart w:id="24" w:name="_Toc15521_WPSOffice_Level1"/>
      <w:bookmarkStart w:id="25" w:name="_Toc30690_WPSOffice_Level1"/>
      <w:bookmarkStart w:id="26" w:name="_Toc6234_WPSOffice_Level1"/>
      <w:bookmarkStart w:id="27" w:name="_Toc8867_WPSOffice_Level2"/>
      <w:bookmarkStart w:id="28" w:name="_Toc6211_WPSOffice_Level2"/>
      <w:bookmarkStart w:id="29" w:name="_Toc32695_WPSOffice_Level2"/>
      <w:bookmarkStart w:id="30" w:name="_Toc32472_WPSOffice_Level2"/>
      <w:bookmarkStart w:id="31" w:name="_Toc4029_WPSOffice_Level2"/>
      <w:bookmarkStart w:id="32" w:name="_Toc11518_WPSOffice_Level2"/>
      <w:r>
        <w:rPr>
          <w:rFonts w:hint="eastAsia" w:ascii="黑体" w:hAnsi="ˎ̥" w:eastAsia="黑体"/>
          <w:sz w:val="32"/>
          <w:szCs w:val="32"/>
        </w:rPr>
        <w:t>第二部分  海南省海口市政府服务中心2018年度部门决算汇总部门2018年度部门决算公开报表</w:t>
      </w:r>
      <w:bookmarkEnd w:id="21"/>
      <w:bookmarkEnd w:id="22"/>
      <w:bookmarkEnd w:id="23"/>
      <w:bookmarkEnd w:id="24"/>
      <w:bookmarkEnd w:id="25"/>
      <w:bookmarkEnd w:id="26"/>
    </w:p>
    <w:p>
      <w:pPr>
        <w:shd w:val="clear" w:color="auto" w:fill="FFFFFF"/>
        <w:spacing w:before="100" w:beforeAutospacing="1" w:after="100" w:afterAutospacing="1"/>
        <w:jc w:val="center"/>
        <w:rPr>
          <w:rFonts w:ascii="黑体" w:hAnsi="ˎ̥" w:eastAsia="黑体"/>
          <w:sz w:val="32"/>
          <w:szCs w:val="32"/>
        </w:rPr>
      </w:pPr>
    </w:p>
    <w:p>
      <w:pPr>
        <w:shd w:val="clear" w:color="auto" w:fill="FFFFFF"/>
        <w:spacing w:before="100" w:beforeAutospacing="1" w:after="100" w:afterAutospacing="1"/>
        <w:ind w:firstLine="645"/>
        <w:rPr>
          <w:rFonts w:ascii="黑体" w:hAnsi="黑体" w:eastAsia="黑体" w:cs="黑体"/>
          <w:sz w:val="32"/>
          <w:szCs w:val="32"/>
        </w:rPr>
      </w:pPr>
      <w:r>
        <w:rPr>
          <w:rFonts w:hint="eastAsia" w:ascii="黑体" w:hAnsi="黑体" w:eastAsia="黑体" w:cs="黑体"/>
          <w:sz w:val="32"/>
          <w:szCs w:val="32"/>
        </w:rPr>
        <w:t>一、收入支出决算公开表（见正文附件）</w:t>
      </w:r>
      <w:bookmarkEnd w:id="27"/>
      <w:bookmarkEnd w:id="28"/>
      <w:bookmarkEnd w:id="29"/>
      <w:r>
        <w:rPr>
          <w:rFonts w:hint="eastAsia" w:ascii="黑体" w:hAnsi="黑体" w:eastAsia="黑体" w:cs="黑体"/>
          <w:sz w:val="32"/>
          <w:szCs w:val="32"/>
        </w:rPr>
        <w:t>。</w:t>
      </w:r>
      <w:bookmarkEnd w:id="30"/>
      <w:bookmarkEnd w:id="31"/>
      <w:bookmarkEnd w:id="32"/>
    </w:p>
    <w:p>
      <w:pPr>
        <w:shd w:val="clear" w:color="auto" w:fill="FFFFFF"/>
        <w:spacing w:before="100" w:beforeAutospacing="1" w:after="100" w:afterAutospacing="1"/>
        <w:ind w:firstLine="645"/>
        <w:rPr>
          <w:rFonts w:ascii="黑体" w:hAnsi="黑体" w:eastAsia="黑体" w:cs="黑体"/>
          <w:sz w:val="32"/>
          <w:szCs w:val="32"/>
        </w:rPr>
      </w:pPr>
      <w:bookmarkStart w:id="33" w:name="_Toc26621_WPSOffice_Level2"/>
      <w:bookmarkStart w:id="34" w:name="_Toc25608_WPSOffice_Level2"/>
      <w:bookmarkStart w:id="35" w:name="_Toc23139_WPSOffice_Level2"/>
      <w:bookmarkStart w:id="36" w:name="_Toc28622_WPSOffice_Level2"/>
      <w:bookmarkStart w:id="37" w:name="_Toc14349_WPSOffice_Level2"/>
      <w:bookmarkStart w:id="38" w:name="_Toc30334_WPSOffice_Level2"/>
      <w:r>
        <w:rPr>
          <w:rFonts w:hint="eastAsia" w:ascii="黑体" w:hAnsi="黑体" w:eastAsia="黑体" w:cs="黑体"/>
          <w:sz w:val="32"/>
          <w:szCs w:val="32"/>
        </w:rPr>
        <w:t>二、收入决算公开表（见正文附件）</w:t>
      </w:r>
      <w:bookmarkEnd w:id="33"/>
      <w:bookmarkEnd w:id="34"/>
      <w:bookmarkEnd w:id="35"/>
      <w:r>
        <w:rPr>
          <w:rFonts w:hint="eastAsia" w:ascii="黑体" w:hAnsi="黑体" w:eastAsia="黑体" w:cs="黑体"/>
          <w:sz w:val="32"/>
          <w:szCs w:val="32"/>
        </w:rPr>
        <w:t>。</w:t>
      </w:r>
      <w:bookmarkEnd w:id="36"/>
      <w:bookmarkEnd w:id="37"/>
      <w:bookmarkEnd w:id="38"/>
    </w:p>
    <w:p>
      <w:pPr>
        <w:shd w:val="clear" w:color="auto" w:fill="FFFFFF"/>
        <w:spacing w:before="100" w:beforeAutospacing="1" w:after="100" w:afterAutospacing="1"/>
        <w:ind w:firstLine="645"/>
        <w:rPr>
          <w:rFonts w:ascii="黑体" w:hAnsi="黑体" w:eastAsia="黑体" w:cs="黑体"/>
          <w:sz w:val="32"/>
          <w:szCs w:val="32"/>
        </w:rPr>
      </w:pPr>
      <w:bookmarkStart w:id="39" w:name="_Toc17858_WPSOffice_Level2"/>
      <w:bookmarkStart w:id="40" w:name="_Toc17626_WPSOffice_Level2"/>
      <w:bookmarkStart w:id="41" w:name="_Toc3262_WPSOffice_Level2"/>
      <w:bookmarkStart w:id="42" w:name="_Toc5489_WPSOffice_Level2"/>
      <w:bookmarkStart w:id="43" w:name="_Toc14658_WPSOffice_Level2"/>
      <w:bookmarkStart w:id="44" w:name="_Toc13854_WPSOffice_Level2"/>
      <w:r>
        <w:rPr>
          <w:rFonts w:hint="eastAsia" w:ascii="黑体" w:hAnsi="黑体" w:eastAsia="黑体" w:cs="黑体"/>
          <w:sz w:val="32"/>
          <w:szCs w:val="32"/>
        </w:rPr>
        <w:t>三、支出决算公开表（见正文附件）</w:t>
      </w:r>
      <w:bookmarkEnd w:id="39"/>
      <w:bookmarkEnd w:id="40"/>
      <w:bookmarkEnd w:id="41"/>
      <w:r>
        <w:rPr>
          <w:rFonts w:hint="eastAsia" w:ascii="黑体" w:hAnsi="黑体" w:eastAsia="黑体" w:cs="黑体"/>
          <w:sz w:val="32"/>
          <w:szCs w:val="32"/>
        </w:rPr>
        <w:t>。</w:t>
      </w:r>
      <w:bookmarkEnd w:id="42"/>
      <w:bookmarkEnd w:id="43"/>
      <w:bookmarkEnd w:id="44"/>
    </w:p>
    <w:p>
      <w:pPr>
        <w:shd w:val="clear" w:color="auto" w:fill="FFFFFF"/>
        <w:spacing w:before="100" w:beforeAutospacing="1" w:after="100" w:afterAutospacing="1"/>
        <w:ind w:firstLine="645"/>
        <w:rPr>
          <w:rFonts w:ascii="黑体" w:hAnsi="黑体" w:eastAsia="黑体" w:cs="黑体"/>
          <w:sz w:val="32"/>
          <w:szCs w:val="32"/>
        </w:rPr>
      </w:pPr>
      <w:bookmarkStart w:id="45" w:name="_Toc21415_WPSOffice_Level2"/>
      <w:bookmarkStart w:id="46" w:name="_Toc13701_WPSOffice_Level2"/>
      <w:bookmarkStart w:id="47" w:name="_Toc23591_WPSOffice_Level2"/>
      <w:bookmarkStart w:id="48" w:name="_Toc23493_WPSOffice_Level2"/>
      <w:bookmarkStart w:id="49" w:name="_Toc4265_WPSOffice_Level2"/>
      <w:bookmarkStart w:id="50" w:name="_Toc7988_WPSOffice_Level2"/>
      <w:r>
        <w:rPr>
          <w:rFonts w:hint="eastAsia" w:ascii="黑体" w:hAnsi="黑体" w:eastAsia="黑体" w:cs="黑体"/>
          <w:sz w:val="32"/>
          <w:szCs w:val="32"/>
        </w:rPr>
        <w:t>四、财政拨款收入支出决算公开表（见正文附件）</w:t>
      </w:r>
      <w:bookmarkEnd w:id="45"/>
      <w:bookmarkEnd w:id="46"/>
      <w:bookmarkEnd w:id="47"/>
      <w:r>
        <w:rPr>
          <w:rFonts w:hint="eastAsia" w:ascii="黑体" w:hAnsi="黑体" w:eastAsia="黑体" w:cs="黑体"/>
          <w:sz w:val="32"/>
          <w:szCs w:val="32"/>
        </w:rPr>
        <w:t>。</w:t>
      </w:r>
      <w:bookmarkEnd w:id="48"/>
      <w:bookmarkEnd w:id="49"/>
      <w:bookmarkEnd w:id="50"/>
    </w:p>
    <w:p>
      <w:pPr>
        <w:shd w:val="clear" w:color="auto" w:fill="FFFFFF"/>
        <w:spacing w:before="100" w:beforeAutospacing="1" w:after="100" w:afterAutospacing="1"/>
        <w:ind w:firstLine="645"/>
        <w:rPr>
          <w:rFonts w:ascii="黑体" w:hAnsi="黑体" w:eastAsia="黑体" w:cs="黑体"/>
          <w:sz w:val="32"/>
          <w:szCs w:val="32"/>
        </w:rPr>
      </w:pPr>
      <w:bookmarkStart w:id="51" w:name="_Toc7879_WPSOffice_Level2"/>
      <w:bookmarkStart w:id="52" w:name="_Toc23829_WPSOffice_Level2"/>
      <w:bookmarkStart w:id="53" w:name="_Toc22783_WPSOffice_Level2"/>
      <w:bookmarkStart w:id="54" w:name="_Toc25166_WPSOffice_Level2"/>
      <w:bookmarkStart w:id="55" w:name="_Toc13516_WPSOffice_Level2"/>
      <w:bookmarkStart w:id="56" w:name="_Toc2158_WPSOffice_Level2"/>
      <w:r>
        <w:rPr>
          <w:rFonts w:hint="eastAsia" w:ascii="黑体" w:hAnsi="黑体" w:eastAsia="黑体" w:cs="黑体"/>
          <w:sz w:val="32"/>
          <w:szCs w:val="32"/>
        </w:rPr>
        <w:t>五、一般公共预算财政拨款收入支出决算公开表</w:t>
      </w:r>
      <w:bookmarkEnd w:id="51"/>
      <w:bookmarkEnd w:id="52"/>
      <w:bookmarkEnd w:id="53"/>
      <w:bookmarkEnd w:id="54"/>
    </w:p>
    <w:p>
      <w:pPr>
        <w:shd w:val="clear" w:color="auto" w:fill="FFFFFF"/>
        <w:spacing w:before="100" w:beforeAutospacing="1" w:after="100" w:afterAutospacing="1"/>
        <w:ind w:firstLine="1302" w:firstLineChars="407"/>
        <w:rPr>
          <w:rFonts w:ascii="黑体" w:hAnsi="黑体" w:eastAsia="黑体" w:cs="黑体"/>
          <w:sz w:val="32"/>
          <w:szCs w:val="32"/>
        </w:rPr>
      </w:pPr>
      <w:r>
        <w:rPr>
          <w:rFonts w:hint="eastAsia" w:ascii="黑体" w:hAnsi="黑体" w:eastAsia="黑体" w:cs="黑体"/>
          <w:sz w:val="32"/>
          <w:szCs w:val="32"/>
        </w:rPr>
        <w:t>（见正文附件）</w:t>
      </w:r>
      <w:bookmarkEnd w:id="55"/>
      <w:bookmarkEnd w:id="56"/>
      <w:r>
        <w:rPr>
          <w:rFonts w:hint="eastAsia" w:ascii="黑体" w:hAnsi="黑体" w:eastAsia="黑体" w:cs="黑体"/>
          <w:sz w:val="32"/>
          <w:szCs w:val="32"/>
        </w:rPr>
        <w:t>。</w:t>
      </w:r>
    </w:p>
    <w:p>
      <w:pPr>
        <w:shd w:val="clear" w:color="auto" w:fill="FFFFFF"/>
        <w:spacing w:before="100" w:beforeAutospacing="1" w:after="100" w:afterAutospacing="1"/>
        <w:ind w:firstLine="645"/>
        <w:rPr>
          <w:rFonts w:ascii="黑体" w:hAnsi="黑体" w:eastAsia="黑体" w:cs="黑体"/>
          <w:sz w:val="32"/>
          <w:szCs w:val="32"/>
        </w:rPr>
      </w:pPr>
      <w:bookmarkStart w:id="57" w:name="_Toc2632_WPSOffice_Level2"/>
      <w:bookmarkStart w:id="58" w:name="_Toc25362_WPSOffice_Level2"/>
      <w:bookmarkStart w:id="59" w:name="_Toc17283_WPSOffice_Level2"/>
      <w:bookmarkStart w:id="60" w:name="_Toc17833_WPSOffice_Level2"/>
      <w:bookmarkStart w:id="61" w:name="_Toc5343_WPSOffice_Level2"/>
      <w:bookmarkStart w:id="62" w:name="_Toc8373_WPSOffice_Level2"/>
      <w:r>
        <w:rPr>
          <w:rFonts w:hint="eastAsia" w:ascii="黑体" w:hAnsi="黑体" w:eastAsia="黑体" w:cs="黑体"/>
          <w:sz w:val="32"/>
          <w:szCs w:val="32"/>
        </w:rPr>
        <w:t>六、一般公共预算财政拨款基本支出决算公开表</w:t>
      </w:r>
      <w:bookmarkEnd w:id="57"/>
      <w:bookmarkEnd w:id="58"/>
      <w:bookmarkEnd w:id="59"/>
      <w:bookmarkEnd w:id="60"/>
      <w:bookmarkEnd w:id="61"/>
      <w:bookmarkEnd w:id="62"/>
    </w:p>
    <w:p>
      <w:pPr>
        <w:shd w:val="clear" w:color="auto" w:fill="FFFFFF"/>
        <w:spacing w:before="100" w:beforeAutospacing="1" w:after="100" w:afterAutospacing="1"/>
        <w:ind w:firstLine="1280" w:firstLineChars="400"/>
        <w:rPr>
          <w:rFonts w:ascii="黑体" w:hAnsi="黑体" w:eastAsia="黑体" w:cs="黑体"/>
          <w:sz w:val="32"/>
          <w:szCs w:val="32"/>
        </w:rPr>
      </w:pPr>
      <w:r>
        <w:rPr>
          <w:rFonts w:hint="eastAsia" w:ascii="黑体" w:hAnsi="黑体" w:eastAsia="黑体" w:cs="黑体"/>
          <w:sz w:val="32"/>
          <w:szCs w:val="32"/>
        </w:rPr>
        <w:t>（见正文附件）。</w:t>
      </w:r>
    </w:p>
    <w:p>
      <w:pPr>
        <w:shd w:val="clear" w:color="auto" w:fill="FFFFFF"/>
        <w:spacing w:before="100" w:beforeAutospacing="1" w:after="100" w:afterAutospacing="1"/>
        <w:ind w:left="1210" w:leftChars="304" w:hanging="480" w:hangingChars="150"/>
        <w:rPr>
          <w:rFonts w:ascii="黑体" w:hAnsi="黑体" w:eastAsia="黑体" w:cs="黑体"/>
          <w:sz w:val="32"/>
          <w:szCs w:val="32"/>
        </w:rPr>
      </w:pPr>
      <w:bookmarkStart w:id="63" w:name="_Toc11799_WPSOffice_Level2"/>
      <w:bookmarkStart w:id="64" w:name="_Toc13345_WPSOffice_Level2"/>
      <w:bookmarkStart w:id="65" w:name="_Toc5594_WPSOffice_Level2"/>
      <w:bookmarkStart w:id="66" w:name="_Toc1533_WPSOffice_Level2"/>
      <w:bookmarkStart w:id="67" w:name="_Toc6020_WPSOffice_Level2"/>
      <w:bookmarkStart w:id="68" w:name="_Toc21310_WPSOffice_Level2"/>
      <w:r>
        <w:rPr>
          <w:rFonts w:hint="eastAsia" w:ascii="黑体" w:hAnsi="黑体" w:eastAsia="黑体" w:cs="黑体"/>
          <w:sz w:val="32"/>
          <w:szCs w:val="32"/>
        </w:rPr>
        <w:t>七、政府性基金预算财政拨款收入支出决算公开表</w:t>
      </w:r>
      <w:bookmarkEnd w:id="63"/>
      <w:bookmarkEnd w:id="64"/>
      <w:bookmarkEnd w:id="65"/>
      <w:bookmarkEnd w:id="66"/>
      <w:bookmarkEnd w:id="67"/>
      <w:bookmarkEnd w:id="68"/>
    </w:p>
    <w:p>
      <w:pPr>
        <w:shd w:val="clear" w:color="auto" w:fill="FFFFFF"/>
        <w:spacing w:before="100" w:beforeAutospacing="1" w:after="100" w:afterAutospacing="1"/>
        <w:ind w:left="1459" w:leftChars="608" w:firstLine="160" w:firstLineChars="50"/>
        <w:rPr>
          <w:rFonts w:ascii="黑体" w:hAnsi="黑体" w:eastAsia="黑体" w:cs="黑体"/>
          <w:sz w:val="32"/>
          <w:szCs w:val="32"/>
        </w:rPr>
      </w:pPr>
      <w:r>
        <w:rPr>
          <w:rFonts w:hint="eastAsia" w:ascii="黑体" w:hAnsi="黑体" w:eastAsia="黑体" w:cs="黑体"/>
          <w:sz w:val="32"/>
          <w:szCs w:val="32"/>
        </w:rPr>
        <w:t>（见正文附件）。</w:t>
      </w:r>
    </w:p>
    <w:p>
      <w:pPr>
        <w:shd w:val="clear" w:color="auto" w:fill="FFFFFF"/>
        <w:spacing w:before="100" w:beforeAutospacing="1" w:after="100" w:afterAutospacing="1"/>
        <w:rPr>
          <w:rFonts w:ascii="黑体" w:hAnsi="黑体" w:eastAsia="黑体" w:cs="黑体"/>
          <w:sz w:val="32"/>
          <w:szCs w:val="32"/>
        </w:rPr>
      </w:pPr>
      <w:bookmarkStart w:id="69" w:name="_Toc9377_WPSOffice_Level2"/>
      <w:bookmarkStart w:id="70" w:name="_Toc29886_WPSOffice_Level2"/>
      <w:bookmarkStart w:id="71" w:name="_Toc19961_WPSOffice_Level2"/>
      <w:bookmarkStart w:id="72" w:name="_Toc1820_WPSOffice_Level2"/>
      <w:r>
        <w:rPr>
          <w:rFonts w:hint="eastAsia" w:ascii="黑体" w:hAnsi="黑体" w:eastAsia="黑体" w:cs="黑体"/>
          <w:sz w:val="32"/>
          <w:szCs w:val="32"/>
        </w:rPr>
        <w:t xml:space="preserve">    八、一般公共预算财政拨款“三公”经费支出决算</w:t>
      </w:r>
    </w:p>
    <w:p>
      <w:pPr>
        <w:shd w:val="clear" w:color="auto" w:fill="FFFFFF"/>
        <w:spacing w:before="100" w:beforeAutospacing="1" w:after="100" w:afterAutospacing="1"/>
        <w:rPr>
          <w:rFonts w:ascii="黑体" w:hAnsi="黑体" w:eastAsia="黑体" w:cs="黑体"/>
          <w:sz w:val="32"/>
          <w:szCs w:val="32"/>
        </w:rPr>
      </w:pPr>
      <w:r>
        <w:rPr>
          <w:rFonts w:hint="eastAsia" w:ascii="黑体" w:hAnsi="黑体" w:eastAsia="黑体" w:cs="黑体"/>
          <w:sz w:val="32"/>
          <w:szCs w:val="32"/>
        </w:rPr>
        <w:t xml:space="preserve">          公开表</w:t>
      </w:r>
      <w:bookmarkEnd w:id="69"/>
      <w:bookmarkEnd w:id="70"/>
      <w:bookmarkEnd w:id="71"/>
      <w:bookmarkEnd w:id="72"/>
      <w:r>
        <w:rPr>
          <w:rFonts w:hint="eastAsia" w:ascii="黑体" w:hAnsi="黑体" w:eastAsia="黑体" w:cs="黑体"/>
          <w:sz w:val="32"/>
          <w:szCs w:val="32"/>
        </w:rPr>
        <w:t>（见正文附件）。</w:t>
      </w:r>
    </w:p>
    <w:p>
      <w:pPr>
        <w:shd w:val="clear" w:color="auto" w:fill="FFFFFF"/>
        <w:spacing w:before="100" w:beforeAutospacing="1" w:after="100" w:afterAutospacing="1"/>
        <w:rPr>
          <w:rFonts w:ascii="黑体" w:hAnsi="黑体" w:eastAsia="黑体" w:cs="黑体"/>
          <w:sz w:val="32"/>
          <w:szCs w:val="32"/>
        </w:rPr>
      </w:pPr>
      <w:r>
        <w:rPr>
          <w:rFonts w:hint="eastAsia" w:ascii="黑体" w:hAnsi="黑体" w:eastAsia="黑体" w:cs="黑体"/>
          <w:sz w:val="32"/>
          <w:szCs w:val="32"/>
        </w:rPr>
        <w:t xml:space="preserve">    九、政府性基金预算财政拨款“三公”经费支出决算</w:t>
      </w:r>
    </w:p>
    <w:p>
      <w:pPr>
        <w:shd w:val="clear" w:color="auto" w:fill="FFFFFF"/>
        <w:spacing w:before="100" w:beforeAutospacing="1" w:after="100" w:afterAutospacing="1"/>
        <w:rPr>
          <w:rFonts w:ascii="黑体" w:hAnsi="黑体" w:eastAsia="黑体" w:cs="黑体"/>
          <w:sz w:val="32"/>
          <w:szCs w:val="32"/>
        </w:rPr>
      </w:pPr>
      <w:r>
        <w:rPr>
          <w:rFonts w:hint="eastAsia" w:ascii="黑体" w:hAnsi="黑体" w:eastAsia="黑体" w:cs="黑体"/>
          <w:sz w:val="32"/>
          <w:szCs w:val="32"/>
        </w:rPr>
        <w:t xml:space="preserve">          公开表（见正文附件）。</w:t>
      </w:r>
    </w:p>
    <w:p>
      <w:pPr>
        <w:shd w:val="clear" w:color="auto" w:fill="FFFFFF"/>
        <w:spacing w:before="100" w:beforeAutospacing="1" w:after="100" w:afterAutospacing="1"/>
        <w:ind w:firstLine="640" w:firstLineChars="200"/>
        <w:rPr>
          <w:rFonts w:ascii="楷体" w:hAnsi="楷体" w:eastAsia="楷体" w:cs="楷体"/>
          <w:sz w:val="32"/>
          <w:szCs w:val="32"/>
        </w:rPr>
      </w:pPr>
      <w:r>
        <w:rPr>
          <w:rFonts w:hint="eastAsia" w:ascii="黑体" w:hAnsi="黑体" w:eastAsia="黑体" w:cs="黑体"/>
          <w:sz w:val="32"/>
          <w:szCs w:val="32"/>
        </w:rPr>
        <w:t>十、资产负债决算公开简表（见正文附件）。</w:t>
      </w:r>
    </w:p>
    <w:p>
      <w:pPr>
        <w:shd w:val="clear" w:color="auto" w:fill="FFFFFF"/>
        <w:spacing w:before="100" w:beforeAutospacing="1" w:after="100" w:afterAutospacing="1"/>
        <w:ind w:firstLine="640" w:firstLineChars="200"/>
        <w:rPr>
          <w:rFonts w:ascii="楷体" w:hAnsi="楷体" w:eastAsia="楷体" w:cs="楷体"/>
          <w:sz w:val="32"/>
          <w:szCs w:val="32"/>
        </w:rPr>
      </w:pPr>
    </w:p>
    <w:p>
      <w:pPr>
        <w:shd w:val="clear" w:color="auto" w:fill="FFFFFF"/>
        <w:spacing w:before="100" w:beforeAutospacing="1" w:after="100" w:afterAutospacing="1"/>
        <w:jc w:val="center"/>
        <w:rPr>
          <w:rFonts w:ascii="黑体" w:hAnsi="ˎ̥" w:eastAsia="黑体"/>
          <w:sz w:val="32"/>
          <w:szCs w:val="32"/>
        </w:rPr>
      </w:pPr>
      <w:bookmarkStart w:id="73" w:name="_Toc16686_WPSOffice_Level1"/>
      <w:bookmarkStart w:id="74" w:name="_Toc29683_WPSOffice_Level1"/>
      <w:bookmarkStart w:id="75" w:name="_Toc31264_WPSOffice_Level1"/>
      <w:bookmarkStart w:id="76" w:name="_Toc27590_WPSOffice_Level1"/>
      <w:bookmarkStart w:id="77" w:name="_Toc28629_WPSOffice_Level1"/>
      <w:bookmarkStart w:id="78" w:name="_Toc4402_WPSOffice_Level1"/>
      <w:r>
        <w:rPr>
          <w:rFonts w:hint="eastAsia" w:ascii="黑体" w:hAnsi="ˎ̥" w:eastAsia="黑体"/>
          <w:sz w:val="32"/>
          <w:szCs w:val="32"/>
        </w:rPr>
        <w:t>第三部分  海口市政府服务中心部门2018年度部门决算情况说明</w:t>
      </w:r>
      <w:bookmarkEnd w:id="73"/>
      <w:bookmarkEnd w:id="74"/>
      <w:bookmarkEnd w:id="75"/>
      <w:bookmarkEnd w:id="76"/>
      <w:bookmarkEnd w:id="77"/>
      <w:bookmarkEnd w:id="78"/>
    </w:p>
    <w:p>
      <w:pPr>
        <w:shd w:val="clear" w:color="auto" w:fill="FFFFFF"/>
        <w:spacing w:before="100" w:beforeAutospacing="1" w:after="100" w:afterAutospacing="1"/>
        <w:jc w:val="center"/>
        <w:rPr>
          <w:rFonts w:ascii="黑体" w:hAnsi="ˎ̥" w:eastAsia="黑体"/>
          <w:sz w:val="32"/>
          <w:szCs w:val="32"/>
        </w:rPr>
      </w:pPr>
    </w:p>
    <w:p>
      <w:pPr>
        <w:shd w:val="clear" w:color="auto" w:fill="FFFFFF"/>
        <w:spacing w:before="100" w:beforeAutospacing="1" w:after="100" w:afterAutospacing="1"/>
        <w:ind w:firstLine="640" w:firstLineChars="200"/>
        <w:rPr>
          <w:rFonts w:ascii="仿宋_GB2312" w:hAnsi="ˎ̥"/>
          <w:sz w:val="32"/>
          <w:szCs w:val="32"/>
        </w:rPr>
      </w:pPr>
      <w:r>
        <w:rPr>
          <w:rFonts w:hint="eastAsia" w:ascii="黑体" w:hAnsi="黑体" w:eastAsia="黑体" w:cs="黑体"/>
          <w:bCs/>
          <w:sz w:val="32"/>
          <w:szCs w:val="32"/>
        </w:rPr>
        <w:t>一、收入支出决算总体情况说明</w:t>
      </w:r>
      <w:r>
        <w:br w:type="textWrapping"/>
      </w:r>
      <w:r>
        <w:rPr>
          <w:rFonts w:ascii="楷体_GB2312" w:hAnsi="ˎ̥"/>
          <w:sz w:val="32"/>
          <w:szCs w:val="32"/>
        </w:rPr>
        <w:t xml:space="preserve">    </w:t>
      </w:r>
      <w:r>
        <w:rPr>
          <w:rFonts w:ascii="仿宋_GB2312" w:hAnsi="ˎ̥"/>
          <w:sz w:val="32"/>
          <w:szCs w:val="32"/>
        </w:rPr>
        <w:t>2018年度收、支总计6,220.24万元，与2017年度相比，收入、支出总计各增加</w:t>
      </w:r>
      <w:r>
        <w:rPr>
          <w:rFonts w:hint="eastAsia" w:ascii="仿宋_GB2312" w:hAnsi="ˎ̥"/>
          <w:sz w:val="32"/>
          <w:szCs w:val="32"/>
        </w:rPr>
        <w:t>1693.28</w:t>
      </w:r>
      <w:r>
        <w:rPr>
          <w:rFonts w:ascii="仿宋_GB2312" w:hAnsi="ˎ̥"/>
          <w:sz w:val="32"/>
          <w:szCs w:val="32"/>
        </w:rPr>
        <w:t>万元，增长</w:t>
      </w:r>
      <w:r>
        <w:rPr>
          <w:rFonts w:hint="eastAsia" w:ascii="仿宋_GB2312" w:hAnsi="ˎ̥"/>
          <w:sz w:val="32"/>
          <w:szCs w:val="32"/>
        </w:rPr>
        <w:t>27.22</w:t>
      </w:r>
      <w:r>
        <w:rPr>
          <w:rFonts w:ascii="仿宋_GB2312" w:hAnsi="ˎ̥"/>
          <w:sz w:val="32"/>
          <w:szCs w:val="32"/>
        </w:rPr>
        <w:t>%。主要原因：一是</w:t>
      </w:r>
      <w:r>
        <w:rPr>
          <w:rFonts w:hint="eastAsia" w:ascii="仿宋_GB2312" w:hAnsi="ˎ̥"/>
          <w:sz w:val="32"/>
          <w:szCs w:val="32"/>
        </w:rPr>
        <w:t>追加项目经费</w:t>
      </w:r>
      <w:r>
        <w:rPr>
          <w:rFonts w:ascii="仿宋_GB2312" w:hAnsi="ˎ̥"/>
          <w:sz w:val="32"/>
          <w:szCs w:val="32"/>
        </w:rPr>
        <w:t>；二是</w:t>
      </w:r>
      <w:r>
        <w:rPr>
          <w:rFonts w:hint="eastAsia" w:ascii="仿宋_GB2312" w:hAnsi="ˎ̥"/>
          <w:sz w:val="32"/>
          <w:szCs w:val="32"/>
        </w:rPr>
        <w:t>结转上年结余</w:t>
      </w:r>
      <w:r>
        <w:rPr>
          <w:rFonts w:ascii="仿宋_GB2312" w:hAnsi="ˎ̥"/>
          <w:sz w:val="32"/>
          <w:szCs w:val="32"/>
        </w:rPr>
        <w:t>。用事业基金弥补收支差额0.00万元，较2017年度决算数增加（减少）</w:t>
      </w:r>
      <w:r>
        <w:rPr>
          <w:rFonts w:hint="eastAsia" w:ascii="仿宋_GB2312" w:hAnsi="ˎ̥"/>
          <w:sz w:val="32"/>
          <w:szCs w:val="32"/>
        </w:rPr>
        <w:t>0</w:t>
      </w:r>
      <w:r>
        <w:rPr>
          <w:rFonts w:ascii="仿宋_GB2312" w:hAnsi="ˎ̥"/>
          <w:sz w:val="32"/>
          <w:szCs w:val="32"/>
        </w:rPr>
        <w:t>万元，主要原因是</w:t>
      </w:r>
      <w:r>
        <w:rPr>
          <w:rFonts w:hint="eastAsia" w:ascii="仿宋_GB2312" w:hAnsi="ˎ̥"/>
          <w:sz w:val="32"/>
          <w:szCs w:val="32"/>
        </w:rPr>
        <w:t>无</w:t>
      </w:r>
      <w:r>
        <w:rPr>
          <w:rFonts w:ascii="仿宋_GB2312" w:hAnsi="ˎ̥"/>
          <w:sz w:val="32"/>
          <w:szCs w:val="32"/>
        </w:rPr>
        <w:t>。年初结转结余449.16万元，主要是</w:t>
      </w:r>
      <w:r>
        <w:rPr>
          <w:rFonts w:hint="eastAsia" w:ascii="仿宋_GB2312" w:hAnsi="ˎ̥"/>
          <w:sz w:val="32"/>
          <w:szCs w:val="32"/>
        </w:rPr>
        <w:t>项目未做招投标</w:t>
      </w:r>
      <w:r>
        <w:rPr>
          <w:rFonts w:ascii="仿宋_GB2312" w:hAnsi="ˎ̥"/>
          <w:sz w:val="32"/>
          <w:szCs w:val="32"/>
        </w:rPr>
        <w:t>（简要说明结转结余形成或来源），较2017年度决算数增加</w:t>
      </w:r>
      <w:r>
        <w:rPr>
          <w:rFonts w:hint="eastAsia" w:ascii="仿宋_GB2312" w:hAnsi="ˎ̥"/>
          <w:sz w:val="32"/>
          <w:szCs w:val="32"/>
        </w:rPr>
        <w:t>205.23</w:t>
      </w:r>
      <w:r>
        <w:rPr>
          <w:rFonts w:ascii="仿宋_GB2312" w:hAnsi="ˎ̥"/>
          <w:sz w:val="32"/>
          <w:szCs w:val="32"/>
        </w:rPr>
        <w:t>万元，增长</w:t>
      </w:r>
      <w:r>
        <w:rPr>
          <w:rFonts w:hint="eastAsia" w:ascii="仿宋_GB2312" w:hAnsi="ˎ̥"/>
          <w:sz w:val="32"/>
          <w:szCs w:val="32"/>
        </w:rPr>
        <w:t>45.70</w:t>
      </w:r>
      <w:r>
        <w:rPr>
          <w:rFonts w:ascii="仿宋_GB2312" w:hAnsi="ˎ̥"/>
          <w:sz w:val="32"/>
          <w:szCs w:val="32"/>
        </w:rPr>
        <w:t>%，主要原因是</w:t>
      </w:r>
      <w:r>
        <w:rPr>
          <w:rFonts w:hint="eastAsia" w:ascii="仿宋_GB2312" w:hAnsi="ˎ̥"/>
          <w:sz w:val="32"/>
          <w:szCs w:val="32"/>
        </w:rPr>
        <w:t>项目经费未完结</w:t>
      </w:r>
      <w:r>
        <w:rPr>
          <w:rFonts w:ascii="仿宋_GB2312" w:hAnsi="ˎ̥"/>
          <w:sz w:val="32"/>
          <w:szCs w:val="32"/>
        </w:rPr>
        <w:t>。结余分配0.14万元，主要是</w:t>
      </w:r>
      <w:r>
        <w:rPr>
          <w:rFonts w:hint="eastAsia" w:ascii="仿宋_GB2312" w:hAnsi="ˎ̥"/>
          <w:sz w:val="32"/>
          <w:szCs w:val="32"/>
          <w:lang w:eastAsia="zh-CN"/>
        </w:rPr>
        <w:t>职工福利基金、事业基金和缴纳的所得税</w:t>
      </w:r>
      <w:r>
        <w:rPr>
          <w:rFonts w:ascii="仿宋_GB2312" w:hAnsi="ˎ̥"/>
          <w:sz w:val="32"/>
          <w:szCs w:val="32"/>
        </w:rPr>
        <w:t>（资金分配去向），较2017年度决算数增加</w:t>
      </w:r>
      <w:r>
        <w:rPr>
          <w:rFonts w:hint="eastAsia" w:ascii="仿宋_GB2312" w:hAnsi="ˎ̥"/>
          <w:sz w:val="32"/>
          <w:szCs w:val="32"/>
          <w:lang w:val="en-US" w:eastAsia="zh-CN"/>
        </w:rPr>
        <w:t>0.04</w:t>
      </w:r>
      <w:r>
        <w:rPr>
          <w:rFonts w:ascii="仿宋_GB2312" w:hAnsi="ˎ̥"/>
          <w:sz w:val="32"/>
          <w:szCs w:val="32"/>
        </w:rPr>
        <w:t>万元，增长</w:t>
      </w:r>
      <w:r>
        <w:rPr>
          <w:rFonts w:hint="eastAsia" w:ascii="仿宋_GB2312" w:hAnsi="ˎ̥"/>
          <w:sz w:val="32"/>
          <w:szCs w:val="32"/>
          <w:lang w:val="en-US" w:eastAsia="zh-CN"/>
        </w:rPr>
        <w:t>28.57</w:t>
      </w:r>
      <w:r>
        <w:rPr>
          <w:rFonts w:ascii="仿宋_GB2312" w:hAnsi="ˎ̥"/>
          <w:sz w:val="32"/>
          <w:szCs w:val="32"/>
        </w:rPr>
        <w:t>%，主要原因是</w:t>
      </w:r>
      <w:r>
        <w:rPr>
          <w:rFonts w:hint="eastAsia" w:ascii="仿宋_GB2312" w:hAnsi="ˎ̥"/>
          <w:sz w:val="32"/>
          <w:szCs w:val="32"/>
          <w:lang w:eastAsia="zh-CN"/>
        </w:rPr>
        <w:t>职工福利基金、事业基金和缴纳的所得税</w:t>
      </w:r>
      <w:r>
        <w:rPr>
          <w:rFonts w:ascii="仿宋_GB2312" w:hAnsi="ˎ̥"/>
          <w:sz w:val="32"/>
          <w:szCs w:val="32"/>
        </w:rPr>
        <w:t>。年末结转结余197.21万元，主要是</w:t>
      </w:r>
      <w:r>
        <w:rPr>
          <w:rFonts w:hint="eastAsia" w:ascii="仿宋_GB2312" w:hAnsi="ˎ̥"/>
          <w:sz w:val="32"/>
          <w:szCs w:val="32"/>
        </w:rPr>
        <w:t>微信公众号未支付完结</w:t>
      </w:r>
      <w:r>
        <w:rPr>
          <w:rFonts w:ascii="仿宋_GB2312" w:hAnsi="ˎ̥"/>
          <w:sz w:val="32"/>
          <w:szCs w:val="32"/>
        </w:rPr>
        <w:t>（简要说明结转结余是什么钱），较2017年度决算数增加</w:t>
      </w:r>
      <w:r>
        <w:rPr>
          <w:rFonts w:hint="eastAsia" w:ascii="仿宋_GB2312" w:hAnsi="ˎ̥"/>
          <w:sz w:val="32"/>
          <w:szCs w:val="32"/>
        </w:rPr>
        <w:t>147.87</w:t>
      </w:r>
      <w:r>
        <w:rPr>
          <w:rFonts w:ascii="仿宋_GB2312" w:hAnsi="ˎ̥"/>
          <w:sz w:val="32"/>
          <w:szCs w:val="32"/>
        </w:rPr>
        <w:t>万元，增长</w:t>
      </w:r>
      <w:r>
        <w:rPr>
          <w:rFonts w:hint="eastAsia" w:ascii="仿宋_GB2312" w:hAnsi="ˎ̥"/>
          <w:sz w:val="32"/>
          <w:szCs w:val="32"/>
        </w:rPr>
        <w:t>75.46</w:t>
      </w:r>
      <w:r>
        <w:rPr>
          <w:rFonts w:ascii="仿宋_GB2312" w:hAnsi="ˎ̥"/>
          <w:sz w:val="32"/>
          <w:szCs w:val="32"/>
        </w:rPr>
        <w:t>%，主要原因是</w:t>
      </w:r>
      <w:r>
        <w:rPr>
          <w:rFonts w:hint="eastAsia" w:ascii="仿宋_GB2312" w:hAnsi="ˎ̥"/>
          <w:sz w:val="32"/>
          <w:szCs w:val="32"/>
        </w:rPr>
        <w:t>项目结余</w:t>
      </w:r>
      <w:r>
        <w:rPr>
          <w:rFonts w:ascii="仿宋_GB2312" w:hAnsi="ˎ̥"/>
          <w:sz w:val="32"/>
          <w:szCs w:val="32"/>
        </w:rPr>
        <w:t>。</w:t>
      </w:r>
    </w:p>
    <w:p>
      <w:pPr>
        <w:shd w:val="clear" w:color="auto" w:fill="FFFFFF"/>
        <w:spacing w:before="100" w:beforeAutospacing="1" w:after="100" w:afterAutospacing="1"/>
        <w:rPr>
          <w:rFonts w:ascii="仿宋_GB2312" w:hAnsi="ˎ̥"/>
          <w:sz w:val="32"/>
          <w:szCs w:val="32"/>
        </w:rPr>
      </w:pPr>
      <w:r>
        <w:rPr>
          <w:rFonts w:ascii="仿宋_GB2312" w:hAnsi="ˎ̥"/>
          <w:sz w:val="32"/>
          <w:szCs w:val="32"/>
        </w:rPr>
        <w:t xml:space="preserve">   （取自2018年度财决01表收入支出决算总表）</w:t>
      </w:r>
    </w:p>
    <w:p>
      <w:pPr>
        <w:shd w:val="clear" w:color="auto" w:fill="FFFFFF"/>
        <w:spacing w:before="100" w:beforeAutospacing="1" w:after="100" w:afterAutospacing="1"/>
        <w:ind w:firstLine="640" w:firstLineChars="200"/>
        <w:rPr>
          <w:rFonts w:ascii="仿宋_GB2312" w:hAnsi="ˎ̥"/>
          <w:sz w:val="32"/>
          <w:szCs w:val="32"/>
        </w:rPr>
      </w:pPr>
      <w:r>
        <w:rPr>
          <w:rFonts w:hint="eastAsia" w:ascii="黑体" w:hAnsi="黑体" w:eastAsia="黑体" w:cs="黑体"/>
          <w:bCs/>
          <w:sz w:val="32"/>
          <w:szCs w:val="32"/>
        </w:rPr>
        <w:t>二、收入决算情况说明</w:t>
      </w:r>
      <w:r>
        <w:br w:type="textWrapping"/>
      </w:r>
      <w:r>
        <w:rPr>
          <w:rFonts w:ascii="仿宋_GB2312" w:hAnsi="ˎ̥"/>
          <w:sz w:val="32"/>
          <w:szCs w:val="32"/>
        </w:rPr>
        <w:t xml:space="preserve">    本年收入合计5,771.08万元，其中：财政拨款收入5,770.95万元，占</w:t>
      </w:r>
      <w:r>
        <w:rPr>
          <w:rFonts w:hint="eastAsia" w:ascii="仿宋_GB2312" w:hAnsi="ˎ̥"/>
          <w:sz w:val="32"/>
          <w:szCs w:val="32"/>
        </w:rPr>
        <w:t>99.99</w:t>
      </w:r>
      <w:r>
        <w:rPr>
          <w:rFonts w:ascii="仿宋_GB2312" w:hAnsi="ˎ̥"/>
          <w:sz w:val="32"/>
          <w:szCs w:val="32"/>
        </w:rPr>
        <w:t>%；上级补助收入0万元，占</w:t>
      </w:r>
      <w:r>
        <w:rPr>
          <w:rFonts w:hint="eastAsia" w:ascii="仿宋_GB2312" w:hAnsi="ˎ̥"/>
          <w:sz w:val="32"/>
          <w:szCs w:val="32"/>
        </w:rPr>
        <w:t>0</w:t>
      </w:r>
      <w:r>
        <w:rPr>
          <w:rFonts w:ascii="仿宋_GB2312" w:hAnsi="ˎ̥"/>
          <w:sz w:val="32"/>
          <w:szCs w:val="32"/>
        </w:rPr>
        <w:t>%；事业收入0万元，占</w:t>
      </w:r>
      <w:r>
        <w:rPr>
          <w:rFonts w:hint="eastAsia" w:ascii="仿宋_GB2312" w:hAnsi="ˎ̥"/>
          <w:sz w:val="32"/>
          <w:szCs w:val="32"/>
        </w:rPr>
        <w:t>0</w:t>
      </w:r>
      <w:r>
        <w:rPr>
          <w:rFonts w:ascii="仿宋_GB2312" w:hAnsi="ˎ̥"/>
          <w:sz w:val="32"/>
          <w:szCs w:val="32"/>
        </w:rPr>
        <w:t>%；经营收入0 [1,5]万元，占</w:t>
      </w:r>
      <w:r>
        <w:rPr>
          <w:rFonts w:hint="eastAsia" w:ascii="仿宋_GB2312" w:hAnsi="ˎ̥"/>
          <w:sz w:val="32"/>
          <w:szCs w:val="32"/>
        </w:rPr>
        <w:t>0</w:t>
      </w:r>
      <w:r>
        <w:rPr>
          <w:rFonts w:ascii="仿宋_GB2312" w:hAnsi="ˎ̥"/>
          <w:sz w:val="32"/>
          <w:szCs w:val="32"/>
        </w:rPr>
        <w:t>%；附属单位上缴收入0万元，占</w:t>
      </w:r>
      <w:r>
        <w:rPr>
          <w:rFonts w:hint="eastAsia" w:ascii="仿宋_GB2312" w:hAnsi="ˎ̥"/>
          <w:sz w:val="32"/>
          <w:szCs w:val="32"/>
        </w:rPr>
        <w:t>0</w:t>
      </w:r>
      <w:r>
        <w:rPr>
          <w:rFonts w:ascii="仿宋_GB2312" w:hAnsi="ˎ̥"/>
          <w:sz w:val="32"/>
          <w:szCs w:val="32"/>
        </w:rPr>
        <w:t>%；其他收入0.14万元，占</w:t>
      </w:r>
      <w:r>
        <w:rPr>
          <w:rFonts w:hint="eastAsia" w:ascii="仿宋_GB2312" w:hAnsi="ˎ̥"/>
          <w:sz w:val="32"/>
          <w:szCs w:val="32"/>
        </w:rPr>
        <w:t>0.002</w:t>
      </w:r>
      <w:r>
        <w:rPr>
          <w:rFonts w:ascii="仿宋_GB2312" w:hAnsi="ˎ̥"/>
          <w:sz w:val="32"/>
          <w:szCs w:val="32"/>
        </w:rPr>
        <w:t>%。</w:t>
      </w:r>
    </w:p>
    <w:p>
      <w:pPr>
        <w:shd w:val="clear" w:color="auto" w:fill="FFFFFF"/>
        <w:spacing w:before="100" w:beforeAutospacing="1" w:after="100" w:afterAutospacing="1"/>
        <w:ind w:left="470" w:leftChars="196"/>
        <w:rPr>
          <w:rFonts w:ascii="仿宋_GB2312" w:hAnsi="ˎ̥"/>
          <w:sz w:val="32"/>
          <w:szCs w:val="32"/>
        </w:rPr>
      </w:pPr>
      <w:r>
        <w:rPr>
          <w:rFonts w:ascii="仿宋_GB2312" w:hAnsi="ˎ̥"/>
          <w:sz w:val="32"/>
          <w:szCs w:val="32"/>
        </w:rPr>
        <w:t xml:space="preserve">  （取自公开财决03表收入决算表。）</w:t>
      </w:r>
    </w:p>
    <w:p>
      <w:pPr>
        <w:shd w:val="clear" w:color="auto" w:fill="FFFFFF"/>
        <w:spacing w:before="100" w:beforeAutospacing="1" w:after="100" w:afterAutospacing="1"/>
        <w:ind w:firstLine="627" w:firstLineChars="196"/>
        <w:rPr>
          <w:rFonts w:ascii="黑体" w:hAnsi="黑体" w:eastAsia="黑体" w:cs="黑体"/>
          <w:bCs/>
          <w:sz w:val="32"/>
          <w:szCs w:val="32"/>
        </w:rPr>
      </w:pPr>
      <w:r>
        <w:rPr>
          <w:rFonts w:hint="eastAsia" w:ascii="黑体" w:hAnsi="黑体" w:eastAsia="黑体" w:cs="黑体"/>
          <w:bCs/>
          <w:sz w:val="32"/>
          <w:szCs w:val="32"/>
        </w:rPr>
        <w:t>三、支出决算情况说明</w:t>
      </w:r>
    </w:p>
    <w:p>
      <w:pPr>
        <w:shd w:val="clear" w:color="auto" w:fill="FFFFFF"/>
        <w:spacing w:before="100" w:beforeAutospacing="1" w:after="100" w:afterAutospacing="1"/>
        <w:ind w:firstLine="640" w:firstLineChars="200"/>
        <w:rPr>
          <w:rFonts w:ascii="仿宋_GB2312" w:hAnsi="ˎ̥"/>
          <w:sz w:val="32"/>
          <w:szCs w:val="32"/>
        </w:rPr>
      </w:pPr>
      <w:r>
        <w:rPr>
          <w:rFonts w:ascii="仿宋_GB2312" w:hAnsi="ˎ̥"/>
          <w:sz w:val="32"/>
          <w:szCs w:val="32"/>
        </w:rPr>
        <w:t>本年支出合计6,022.89万元，其中：基本支出974.22万元，占</w:t>
      </w:r>
      <w:r>
        <w:rPr>
          <w:rFonts w:hint="eastAsia" w:ascii="仿宋_GB2312" w:hAnsi="ˎ̥"/>
          <w:sz w:val="32"/>
          <w:szCs w:val="32"/>
        </w:rPr>
        <w:t>16.18</w:t>
      </w:r>
      <w:r>
        <w:rPr>
          <w:rFonts w:ascii="仿宋_GB2312" w:hAnsi="ˎ̥"/>
          <w:sz w:val="32"/>
          <w:szCs w:val="32"/>
        </w:rPr>
        <w:t>%；项目支出5,048.68万元，占</w:t>
      </w:r>
      <w:r>
        <w:rPr>
          <w:rFonts w:hint="eastAsia" w:ascii="仿宋_GB2312" w:hAnsi="ˎ̥"/>
          <w:sz w:val="32"/>
          <w:szCs w:val="32"/>
        </w:rPr>
        <w:t>83.82</w:t>
      </w:r>
      <w:r>
        <w:rPr>
          <w:rFonts w:ascii="仿宋_GB2312" w:hAnsi="ˎ̥"/>
          <w:sz w:val="32"/>
          <w:szCs w:val="32"/>
        </w:rPr>
        <w:t>%；上缴上级支出0万元，占</w:t>
      </w:r>
      <w:r>
        <w:rPr>
          <w:rFonts w:hint="eastAsia" w:ascii="仿宋_GB2312" w:hAnsi="ˎ̥"/>
          <w:sz w:val="32"/>
          <w:szCs w:val="32"/>
        </w:rPr>
        <w:t>0</w:t>
      </w:r>
      <w:r>
        <w:rPr>
          <w:rFonts w:ascii="仿宋_GB2312" w:hAnsi="ˎ̥"/>
          <w:sz w:val="32"/>
          <w:szCs w:val="32"/>
        </w:rPr>
        <w:t>%；经营支出0万元，占</w:t>
      </w:r>
      <w:r>
        <w:rPr>
          <w:rFonts w:hint="eastAsia" w:ascii="仿宋_GB2312" w:hAnsi="ˎ̥"/>
          <w:sz w:val="32"/>
          <w:szCs w:val="32"/>
        </w:rPr>
        <w:t>0</w:t>
      </w:r>
      <w:r>
        <w:rPr>
          <w:rFonts w:ascii="仿宋_GB2312" w:hAnsi="ˎ̥"/>
          <w:sz w:val="32"/>
          <w:szCs w:val="32"/>
        </w:rPr>
        <w:t>%；对附属单位补助支出0万元，占</w:t>
      </w:r>
      <w:r>
        <w:rPr>
          <w:rFonts w:hint="eastAsia" w:ascii="仿宋_GB2312" w:hAnsi="ˎ̥"/>
          <w:sz w:val="32"/>
          <w:szCs w:val="32"/>
        </w:rPr>
        <w:t>0</w:t>
      </w:r>
      <w:r>
        <w:rPr>
          <w:rFonts w:ascii="仿宋_GB2312" w:hAnsi="ˎ̥"/>
          <w:sz w:val="32"/>
          <w:szCs w:val="32"/>
        </w:rPr>
        <w:t>%。</w:t>
      </w:r>
    </w:p>
    <w:p>
      <w:pPr>
        <w:shd w:val="clear" w:color="auto" w:fill="FFFFFF"/>
        <w:spacing w:before="100" w:beforeAutospacing="1" w:after="100" w:afterAutospacing="1"/>
        <w:ind w:firstLine="640" w:firstLineChars="200"/>
        <w:rPr>
          <w:rFonts w:ascii="仿宋_GB2312" w:hAnsi="ˎ̥"/>
          <w:sz w:val="32"/>
          <w:szCs w:val="32"/>
        </w:rPr>
      </w:pPr>
      <w:r>
        <w:rPr>
          <w:rFonts w:ascii="仿宋_GB2312" w:hAnsi="ˎ̥"/>
          <w:sz w:val="32"/>
          <w:szCs w:val="32"/>
        </w:rPr>
        <w:t>（取自财决04表支出决算表。）</w:t>
      </w:r>
    </w:p>
    <w:p>
      <w:pPr>
        <w:shd w:val="clear" w:color="auto" w:fill="FFFFFF"/>
        <w:spacing w:before="100" w:beforeAutospacing="1" w:after="100" w:afterAutospacing="1"/>
        <w:ind w:firstLine="627" w:firstLineChars="196"/>
        <w:rPr>
          <w:rFonts w:ascii="黑体" w:hAnsi="黑体" w:eastAsia="黑体" w:cs="黑体"/>
          <w:bCs/>
          <w:sz w:val="32"/>
          <w:szCs w:val="32"/>
        </w:rPr>
      </w:pPr>
      <w:r>
        <w:rPr>
          <w:rFonts w:hint="eastAsia" w:ascii="黑体" w:hAnsi="黑体" w:eastAsia="黑体" w:cs="黑体"/>
          <w:bCs/>
          <w:sz w:val="32"/>
          <w:szCs w:val="32"/>
        </w:rPr>
        <w:t>四、财政拨款收入支出决算总体情况说明</w:t>
      </w:r>
    </w:p>
    <w:p>
      <w:pPr>
        <w:shd w:val="clear" w:color="auto" w:fill="FFFFFF"/>
        <w:spacing w:before="100" w:beforeAutospacing="1" w:after="100" w:afterAutospacing="1"/>
        <w:ind w:firstLine="640" w:firstLineChars="200"/>
        <w:rPr>
          <w:rFonts w:ascii="仿宋_GB2312" w:hAnsi="ˎ̥"/>
          <w:sz w:val="32"/>
          <w:szCs w:val="32"/>
        </w:rPr>
      </w:pPr>
      <w:r>
        <w:rPr>
          <w:rFonts w:ascii="仿宋_GB2312" w:hAnsi="ˎ̥"/>
          <w:sz w:val="32"/>
          <w:szCs w:val="32"/>
        </w:rPr>
        <w:t>2018年度财政拨款收入、支出总计5,797.00万元。与2017年度相比，财政拨款收入、支出总计各增加</w:t>
      </w:r>
      <w:r>
        <w:rPr>
          <w:rFonts w:hint="eastAsia" w:ascii="仿宋_GB2312" w:hAnsi="ˎ̥"/>
          <w:sz w:val="32"/>
          <w:szCs w:val="32"/>
        </w:rPr>
        <w:t>2124.17</w:t>
      </w:r>
      <w:r>
        <w:rPr>
          <w:rFonts w:ascii="仿宋_GB2312" w:hAnsi="ˎ̥"/>
          <w:sz w:val="32"/>
          <w:szCs w:val="32"/>
        </w:rPr>
        <w:t>万元，增长</w:t>
      </w:r>
      <w:r>
        <w:rPr>
          <w:rFonts w:hint="eastAsia" w:ascii="仿宋_GB2312" w:hAnsi="ˎ̥"/>
          <w:sz w:val="32"/>
          <w:szCs w:val="32"/>
        </w:rPr>
        <w:t>36.64</w:t>
      </w:r>
      <w:r>
        <w:rPr>
          <w:rFonts w:ascii="仿宋_GB2312" w:hAnsi="ˎ̥"/>
          <w:sz w:val="32"/>
          <w:szCs w:val="32"/>
        </w:rPr>
        <w:t>%。主要原因：一是</w:t>
      </w:r>
      <w:r>
        <w:rPr>
          <w:rFonts w:hint="eastAsia" w:ascii="仿宋_GB2312" w:hAnsi="ˎ̥"/>
          <w:sz w:val="32"/>
          <w:szCs w:val="32"/>
        </w:rPr>
        <w:t>增加热线经费</w:t>
      </w:r>
      <w:r>
        <w:rPr>
          <w:rFonts w:ascii="仿宋_GB2312" w:hAnsi="ˎ̥"/>
          <w:sz w:val="32"/>
          <w:szCs w:val="32"/>
        </w:rPr>
        <w:t>；二是</w:t>
      </w:r>
      <w:r>
        <w:rPr>
          <w:rFonts w:hint="eastAsia" w:ascii="仿宋_GB2312" w:hAnsi="ˎ̥"/>
          <w:sz w:val="32"/>
          <w:szCs w:val="32"/>
        </w:rPr>
        <w:t>增加政府性基金预算</w:t>
      </w:r>
      <w:r>
        <w:rPr>
          <w:rFonts w:ascii="仿宋_GB2312" w:hAnsi="ˎ̥"/>
          <w:sz w:val="32"/>
          <w:szCs w:val="32"/>
        </w:rPr>
        <w:t>。</w:t>
      </w:r>
    </w:p>
    <w:p>
      <w:pPr>
        <w:shd w:val="clear" w:color="auto" w:fill="FFFFFF"/>
        <w:spacing w:before="100" w:beforeAutospacing="1" w:after="100" w:afterAutospacing="1"/>
        <w:ind w:firstLine="640" w:firstLineChars="200"/>
        <w:rPr>
          <w:rFonts w:ascii="仿宋_GB2312" w:hAnsi="ˎ̥"/>
          <w:sz w:val="32"/>
          <w:szCs w:val="32"/>
        </w:rPr>
      </w:pPr>
      <w:r>
        <w:rPr>
          <w:rFonts w:ascii="仿宋_GB2312" w:hAnsi="ˎ̥"/>
          <w:sz w:val="32"/>
          <w:szCs w:val="32"/>
        </w:rPr>
        <w:t>财政拨款年初结转结余26.05万元，主要是（简要说明结转结余形成或来源），较2017年度年初决算数减少</w:t>
      </w:r>
      <w:r>
        <w:rPr>
          <w:rFonts w:hint="eastAsia" w:ascii="仿宋_GB2312" w:hAnsi="ˎ̥"/>
          <w:sz w:val="32"/>
          <w:szCs w:val="32"/>
        </w:rPr>
        <w:t>217.88</w:t>
      </w:r>
      <w:r>
        <w:rPr>
          <w:rFonts w:ascii="仿宋_GB2312" w:hAnsi="ˎ̥"/>
          <w:sz w:val="32"/>
          <w:szCs w:val="32"/>
        </w:rPr>
        <w:t>万元，下降</w:t>
      </w:r>
      <w:r>
        <w:rPr>
          <w:rFonts w:hint="eastAsia" w:ascii="仿宋_GB2312" w:hAnsi="ˎ̥"/>
          <w:sz w:val="32"/>
          <w:szCs w:val="32"/>
        </w:rPr>
        <w:t>836.39</w:t>
      </w:r>
      <w:r>
        <w:rPr>
          <w:rFonts w:ascii="仿宋_GB2312" w:hAnsi="ˎ̥"/>
          <w:sz w:val="32"/>
          <w:szCs w:val="32"/>
        </w:rPr>
        <w:t>%，主要原因是</w:t>
      </w:r>
      <w:r>
        <w:rPr>
          <w:rFonts w:hint="eastAsia" w:ascii="仿宋_GB2312" w:hAnsi="ˎ̥"/>
          <w:sz w:val="32"/>
          <w:szCs w:val="32"/>
        </w:rPr>
        <w:t>1、基本支出结转1.24万元； 2、项目支出结转和结余24.81万元</w:t>
      </w:r>
      <w:r>
        <w:rPr>
          <w:rFonts w:ascii="仿宋_GB2312" w:hAnsi="ˎ̥"/>
          <w:sz w:val="32"/>
          <w:szCs w:val="32"/>
        </w:rPr>
        <w:t>。</w:t>
      </w:r>
    </w:p>
    <w:p>
      <w:pPr>
        <w:shd w:val="clear" w:color="auto" w:fill="FFFFFF"/>
        <w:spacing w:before="100" w:beforeAutospacing="1" w:after="100" w:afterAutospacing="1"/>
        <w:ind w:firstLine="640" w:firstLineChars="200"/>
        <w:rPr>
          <w:rFonts w:ascii="仿宋_GB2312" w:hAnsi="ˎ̥"/>
          <w:sz w:val="32"/>
          <w:szCs w:val="32"/>
        </w:rPr>
      </w:pPr>
      <w:r>
        <w:rPr>
          <w:rFonts w:ascii="仿宋_GB2312" w:hAnsi="ˎ̥"/>
          <w:sz w:val="32"/>
          <w:szCs w:val="32"/>
        </w:rPr>
        <w:t>财政拨款年末结转结余26.05万元，主要是</w:t>
      </w:r>
      <w:r>
        <w:rPr>
          <w:rFonts w:hint="eastAsia" w:ascii="仿宋_GB2312" w:hAnsi="ˎ̥"/>
          <w:sz w:val="32"/>
          <w:szCs w:val="32"/>
        </w:rPr>
        <w:t>1、基本支出结转1.24万元； 2、项目支出结转和结余24.81万元</w:t>
      </w:r>
      <w:r>
        <w:rPr>
          <w:rFonts w:ascii="仿宋_GB2312" w:hAnsi="ˎ̥"/>
          <w:sz w:val="32"/>
          <w:szCs w:val="32"/>
        </w:rPr>
        <w:t>。</w:t>
      </w:r>
    </w:p>
    <w:p>
      <w:pPr>
        <w:shd w:val="clear" w:color="auto" w:fill="FFFFFF"/>
        <w:spacing w:before="100" w:beforeAutospacing="1" w:after="100" w:afterAutospacing="1"/>
        <w:rPr>
          <w:rFonts w:ascii="仿宋_GB2312" w:hAnsi="ˎ̥"/>
          <w:sz w:val="32"/>
          <w:szCs w:val="32"/>
        </w:rPr>
      </w:pPr>
      <w:r>
        <w:rPr>
          <w:rFonts w:ascii="仿宋_GB2312" w:hAnsi="ˎ̥"/>
          <w:sz w:val="32"/>
          <w:szCs w:val="32"/>
        </w:rPr>
        <w:t>（简要说明结转结余是什么钱），较2017年度年末决算数减少</w:t>
      </w:r>
      <w:r>
        <w:rPr>
          <w:rFonts w:hint="eastAsia" w:ascii="仿宋_GB2312" w:hAnsi="ˎ̥"/>
          <w:sz w:val="32"/>
          <w:szCs w:val="32"/>
        </w:rPr>
        <w:t>22.05</w:t>
      </w:r>
      <w:r>
        <w:rPr>
          <w:rFonts w:ascii="仿宋_GB2312" w:hAnsi="ˎ̥"/>
          <w:sz w:val="32"/>
          <w:szCs w:val="32"/>
        </w:rPr>
        <w:t>万元，下降</w:t>
      </w:r>
      <w:r>
        <w:rPr>
          <w:rFonts w:hint="eastAsia" w:ascii="仿宋_GB2312" w:hAnsi="ˎ̥"/>
          <w:sz w:val="32"/>
          <w:szCs w:val="32"/>
        </w:rPr>
        <w:t>84.64</w:t>
      </w:r>
      <w:r>
        <w:rPr>
          <w:rFonts w:ascii="仿宋_GB2312" w:hAnsi="ˎ̥"/>
          <w:sz w:val="32"/>
          <w:szCs w:val="32"/>
        </w:rPr>
        <w:t>%，主要原因是</w:t>
      </w:r>
      <w:r>
        <w:rPr>
          <w:rFonts w:hint="eastAsia" w:ascii="仿宋_GB2312" w:hAnsi="ˎ̥"/>
          <w:sz w:val="32"/>
          <w:szCs w:val="32"/>
        </w:rPr>
        <w:t>1、基本支出结转1.24万元； 2、项目支出结转和结余24.81万元</w:t>
      </w:r>
      <w:r>
        <w:rPr>
          <w:rFonts w:ascii="仿宋_GB2312" w:hAnsi="ˎ̥"/>
          <w:sz w:val="32"/>
          <w:szCs w:val="32"/>
        </w:rPr>
        <w:t>。</w:t>
      </w:r>
    </w:p>
    <w:p>
      <w:pPr>
        <w:shd w:val="clear" w:color="auto" w:fill="FFFFFF"/>
        <w:spacing w:before="100" w:beforeAutospacing="1" w:after="100" w:afterAutospacing="1"/>
        <w:ind w:firstLine="640" w:firstLineChars="200"/>
        <w:rPr>
          <w:rFonts w:ascii="仿宋_GB2312" w:hAnsi="ˎ̥"/>
          <w:sz w:val="32"/>
          <w:szCs w:val="32"/>
        </w:rPr>
      </w:pPr>
      <w:r>
        <w:rPr>
          <w:rFonts w:ascii="仿宋_GB2312" w:hAnsi="ˎ̥"/>
          <w:sz w:val="32"/>
          <w:szCs w:val="32"/>
        </w:rPr>
        <w:t>（取自财决01-1表财政拨款收入支出决算总表。）</w:t>
      </w:r>
    </w:p>
    <w:p>
      <w:pPr>
        <w:shd w:val="clear" w:color="auto" w:fill="FFFFFF"/>
        <w:spacing w:before="100" w:beforeAutospacing="1" w:after="100" w:afterAutospacing="1"/>
        <w:ind w:firstLine="627" w:firstLineChars="196"/>
        <w:rPr>
          <w:rFonts w:ascii="黑体" w:hAnsi="黑体" w:eastAsia="黑体" w:cs="黑体"/>
          <w:bCs/>
          <w:sz w:val="32"/>
          <w:szCs w:val="32"/>
        </w:rPr>
      </w:pPr>
      <w:r>
        <w:rPr>
          <w:rFonts w:hint="eastAsia" w:ascii="黑体" w:hAnsi="黑体" w:eastAsia="黑体" w:cs="黑体"/>
          <w:bCs/>
          <w:sz w:val="32"/>
          <w:szCs w:val="32"/>
        </w:rPr>
        <w:t>五、一般公共预算财政拨款支出决算情况说明</w:t>
      </w:r>
    </w:p>
    <w:p>
      <w:pPr>
        <w:shd w:val="clear" w:color="auto" w:fill="FFFFFF"/>
        <w:spacing w:before="100" w:beforeAutospacing="1" w:after="100" w:afterAutospacing="1"/>
        <w:ind w:firstLine="640" w:firstLineChars="200"/>
        <w:rPr>
          <w:rFonts w:ascii="楷体" w:hAnsi="楷体" w:eastAsia="楷体" w:cs="楷体"/>
          <w:sz w:val="32"/>
          <w:szCs w:val="32"/>
        </w:rPr>
      </w:pPr>
      <w:bookmarkStart w:id="79" w:name="_Toc13694_WPSOffice_Level2"/>
      <w:bookmarkStart w:id="80" w:name="_Toc17398_WPSOffice_Level2"/>
      <w:bookmarkStart w:id="81" w:name="_Toc19665_WPSOffice_Level2"/>
      <w:bookmarkStart w:id="82" w:name="_Toc23005_WPSOffice_Level2"/>
      <w:bookmarkStart w:id="83" w:name="_Toc9989_WPSOffice_Level2"/>
      <w:bookmarkStart w:id="84" w:name="_Toc21737_WPSOffice_Level2"/>
      <w:r>
        <w:rPr>
          <w:rFonts w:hint="eastAsia" w:ascii="楷体" w:hAnsi="楷体" w:eastAsia="楷体" w:cs="楷体"/>
          <w:sz w:val="32"/>
          <w:szCs w:val="32"/>
        </w:rPr>
        <w:t>（一）一般公共预算财政拨款支出决算总体情况</w:t>
      </w:r>
      <w:bookmarkEnd w:id="79"/>
      <w:bookmarkEnd w:id="80"/>
      <w:r>
        <w:rPr>
          <w:rFonts w:hint="eastAsia" w:ascii="楷体" w:hAnsi="楷体" w:eastAsia="楷体" w:cs="楷体"/>
          <w:sz w:val="32"/>
          <w:szCs w:val="32"/>
        </w:rPr>
        <w:t>。</w:t>
      </w:r>
      <w:bookmarkEnd w:id="81"/>
      <w:bookmarkEnd w:id="82"/>
      <w:bookmarkEnd w:id="83"/>
      <w:bookmarkEnd w:id="84"/>
    </w:p>
    <w:p>
      <w:pPr>
        <w:shd w:val="clear" w:color="auto" w:fill="FFFFFF"/>
        <w:spacing w:before="100" w:beforeAutospacing="1" w:after="100" w:afterAutospacing="1"/>
        <w:ind w:firstLine="640" w:firstLineChars="200"/>
        <w:rPr>
          <w:rFonts w:ascii="仿宋_GB2312" w:hAnsi="ˎ̥"/>
          <w:sz w:val="32"/>
          <w:szCs w:val="32"/>
        </w:rPr>
      </w:pPr>
      <w:r>
        <w:rPr>
          <w:rFonts w:ascii="仿宋_GB2312" w:hAnsi="ˎ̥"/>
          <w:sz w:val="32"/>
          <w:szCs w:val="32"/>
        </w:rPr>
        <w:t>2018年度一般公共预算财政拨款支出5,645.43万元，占本年支出合计的</w:t>
      </w:r>
      <w:r>
        <w:rPr>
          <w:rFonts w:hint="eastAsia" w:ascii="仿宋_GB2312" w:hAnsi="ˎ̥"/>
          <w:sz w:val="32"/>
          <w:szCs w:val="32"/>
        </w:rPr>
        <w:t>93.73</w:t>
      </w:r>
      <w:r>
        <w:rPr>
          <w:rFonts w:ascii="仿宋_GB2312" w:hAnsi="ˎ̥"/>
          <w:sz w:val="32"/>
          <w:szCs w:val="32"/>
        </w:rPr>
        <w:t>%。与2017年度相比，财政拨款支出增加</w:t>
      </w:r>
      <w:r>
        <w:rPr>
          <w:rFonts w:hint="eastAsia" w:ascii="仿宋_GB2312" w:hAnsi="ˎ̥"/>
          <w:sz w:val="32"/>
          <w:szCs w:val="32"/>
        </w:rPr>
        <w:t>2238.04</w:t>
      </w:r>
      <w:r>
        <w:rPr>
          <w:rFonts w:ascii="仿宋_GB2312" w:hAnsi="ˎ̥"/>
          <w:sz w:val="32"/>
          <w:szCs w:val="32"/>
        </w:rPr>
        <w:t>万元，增长</w:t>
      </w:r>
      <w:r>
        <w:rPr>
          <w:rFonts w:hint="eastAsia" w:ascii="仿宋_GB2312" w:hAnsi="ˎ̥"/>
          <w:sz w:val="32"/>
          <w:szCs w:val="32"/>
        </w:rPr>
        <w:t>39.64</w:t>
      </w:r>
      <w:r>
        <w:rPr>
          <w:rFonts w:ascii="仿宋_GB2312" w:hAnsi="ˎ̥"/>
          <w:sz w:val="32"/>
          <w:szCs w:val="32"/>
        </w:rPr>
        <w:t>%，主要原因是</w:t>
      </w:r>
      <w:r>
        <w:rPr>
          <w:rFonts w:hint="eastAsia" w:ascii="仿宋_GB2312" w:hAnsi="ˎ̥"/>
          <w:sz w:val="32"/>
          <w:szCs w:val="32"/>
        </w:rPr>
        <w:t>热线外包费用增加</w:t>
      </w:r>
      <w:r>
        <w:rPr>
          <w:rFonts w:ascii="仿宋_GB2312" w:hAnsi="ˎ̥"/>
          <w:sz w:val="32"/>
          <w:szCs w:val="32"/>
        </w:rPr>
        <w:t>。</w:t>
      </w:r>
    </w:p>
    <w:p>
      <w:pPr>
        <w:shd w:val="clear" w:color="auto" w:fill="FFFFFF"/>
        <w:spacing w:before="100" w:beforeAutospacing="1" w:after="100" w:afterAutospacing="1"/>
        <w:ind w:firstLine="640" w:firstLineChars="200"/>
        <w:rPr>
          <w:rFonts w:ascii="仿宋_GB2312" w:hAnsi="ˎ̥"/>
          <w:sz w:val="32"/>
          <w:szCs w:val="32"/>
        </w:rPr>
      </w:pPr>
      <w:r>
        <w:rPr>
          <w:rFonts w:ascii="仿宋_GB2312" w:hAnsi="ˎ̥"/>
          <w:sz w:val="32"/>
          <w:szCs w:val="32"/>
        </w:rPr>
        <w:t>（取自财决07表一般公共预算财政拨款收入支出决算表）</w:t>
      </w:r>
    </w:p>
    <w:p>
      <w:pPr>
        <w:shd w:val="clear" w:color="auto" w:fill="FFFFFF"/>
        <w:spacing w:before="100" w:beforeAutospacing="1" w:after="100" w:afterAutospacing="1"/>
        <w:ind w:firstLine="640" w:firstLineChars="200"/>
        <w:rPr>
          <w:rFonts w:ascii="楷体" w:hAnsi="楷体" w:eastAsia="楷体" w:cs="楷体"/>
          <w:sz w:val="32"/>
          <w:szCs w:val="32"/>
        </w:rPr>
      </w:pPr>
      <w:bookmarkStart w:id="85" w:name="_Toc2711_WPSOffice_Level2"/>
      <w:bookmarkStart w:id="86" w:name="_Toc18793_WPSOffice_Level2"/>
      <w:bookmarkStart w:id="87" w:name="_Toc19535_WPSOffice_Level2"/>
      <w:bookmarkStart w:id="88" w:name="_Toc27767_WPSOffice_Level2"/>
      <w:bookmarkStart w:id="89" w:name="_Toc23864_WPSOffice_Level2"/>
      <w:bookmarkStart w:id="90" w:name="_Toc19075_WPSOffice_Level2"/>
      <w:r>
        <w:rPr>
          <w:rFonts w:hint="eastAsia" w:ascii="楷体" w:hAnsi="楷体" w:eastAsia="楷体" w:cs="楷体"/>
          <w:sz w:val="32"/>
          <w:szCs w:val="32"/>
        </w:rPr>
        <w:t>（二）财政拨款支出决算结构情况</w:t>
      </w:r>
      <w:bookmarkEnd w:id="85"/>
      <w:bookmarkEnd w:id="86"/>
      <w:r>
        <w:rPr>
          <w:rFonts w:hint="eastAsia" w:ascii="楷体" w:hAnsi="楷体" w:eastAsia="楷体" w:cs="楷体"/>
          <w:sz w:val="32"/>
          <w:szCs w:val="32"/>
        </w:rPr>
        <w:t>。</w:t>
      </w:r>
      <w:bookmarkEnd w:id="87"/>
      <w:bookmarkEnd w:id="88"/>
      <w:bookmarkEnd w:id="89"/>
      <w:bookmarkEnd w:id="90"/>
    </w:p>
    <w:p>
      <w:pPr>
        <w:shd w:val="clear" w:color="auto" w:fill="FFFFFF"/>
        <w:spacing w:before="100" w:beforeAutospacing="1" w:after="100" w:afterAutospacing="1"/>
        <w:ind w:firstLine="640" w:firstLineChars="200"/>
        <w:rPr>
          <w:rFonts w:ascii="仿宋_GB2312" w:hAnsi="ˎ̥"/>
          <w:sz w:val="32"/>
          <w:szCs w:val="32"/>
        </w:rPr>
      </w:pPr>
      <w:r>
        <w:rPr>
          <w:rFonts w:ascii="仿宋_GB2312" w:hAnsi="ˎ̥"/>
          <w:sz w:val="32"/>
          <w:szCs w:val="32"/>
        </w:rPr>
        <w:t>2018年度一般公共预算财政拨款支出5,645.43万元，主要用于以下方面：</w:t>
      </w:r>
      <w:r>
        <w:rPr>
          <w:rFonts w:ascii="仿宋_GB2312" w:hAnsi="ˎ̥"/>
          <w:b/>
          <w:sz w:val="32"/>
          <w:szCs w:val="32"/>
        </w:rPr>
        <w:t>一般公共服务（类）</w:t>
      </w:r>
      <w:r>
        <w:rPr>
          <w:rFonts w:ascii="仿宋_GB2312" w:hAnsi="ˎ̥"/>
          <w:sz w:val="32"/>
          <w:szCs w:val="32"/>
        </w:rPr>
        <w:t>支出</w:t>
      </w:r>
      <w:r>
        <w:rPr>
          <w:rFonts w:hint="eastAsia" w:ascii="仿宋_GB2312" w:hAnsi="ˎ̥"/>
          <w:sz w:val="32"/>
          <w:szCs w:val="32"/>
        </w:rPr>
        <w:t>5370.72</w:t>
      </w:r>
      <w:r>
        <w:rPr>
          <w:rFonts w:ascii="仿宋_GB2312" w:hAnsi="ˎ̥"/>
          <w:sz w:val="32"/>
          <w:szCs w:val="32"/>
        </w:rPr>
        <w:t>万元，占</w:t>
      </w:r>
      <w:r>
        <w:rPr>
          <w:rFonts w:hint="eastAsia" w:ascii="仿宋_GB2312" w:hAnsi="ˎ̥"/>
          <w:sz w:val="32"/>
          <w:szCs w:val="32"/>
        </w:rPr>
        <w:t>94.7</w:t>
      </w:r>
      <w:r>
        <w:rPr>
          <w:rFonts w:ascii="仿宋_GB2312" w:hAnsi="ˎ̥"/>
          <w:sz w:val="32"/>
          <w:szCs w:val="32"/>
        </w:rPr>
        <w:t>%；</w:t>
      </w:r>
      <w:r>
        <w:rPr>
          <w:rFonts w:ascii="仿宋_GB2312" w:hAnsi="ˎ̥"/>
          <w:b/>
          <w:sz w:val="32"/>
          <w:szCs w:val="32"/>
        </w:rPr>
        <w:t>社会保障和就业（类）</w:t>
      </w:r>
      <w:r>
        <w:rPr>
          <w:rFonts w:ascii="仿宋_GB2312" w:hAnsi="ˎ̥"/>
          <w:sz w:val="32"/>
          <w:szCs w:val="32"/>
        </w:rPr>
        <w:t>支出</w:t>
      </w:r>
      <w:r>
        <w:rPr>
          <w:rFonts w:hint="eastAsia" w:ascii="仿宋_GB2312" w:hAnsi="ˎ̥"/>
          <w:sz w:val="32"/>
          <w:szCs w:val="32"/>
        </w:rPr>
        <w:t>94.98</w:t>
      </w:r>
      <w:r>
        <w:rPr>
          <w:rFonts w:ascii="仿宋_GB2312" w:hAnsi="ˎ̥"/>
          <w:sz w:val="32"/>
          <w:szCs w:val="32"/>
        </w:rPr>
        <w:t>万元，占</w:t>
      </w:r>
      <w:r>
        <w:rPr>
          <w:rFonts w:hint="eastAsia" w:ascii="仿宋_GB2312" w:hAnsi="ˎ̥"/>
          <w:sz w:val="32"/>
          <w:szCs w:val="32"/>
        </w:rPr>
        <w:t>1.67</w:t>
      </w:r>
      <w:r>
        <w:rPr>
          <w:rFonts w:ascii="仿宋_GB2312" w:hAnsi="ˎ̥"/>
          <w:sz w:val="32"/>
          <w:szCs w:val="32"/>
        </w:rPr>
        <w:t>%；</w:t>
      </w:r>
      <w:r>
        <w:rPr>
          <w:rFonts w:hint="eastAsia" w:ascii="仿宋_GB2312" w:hAnsi="ˎ̥"/>
          <w:b/>
          <w:sz w:val="32"/>
          <w:szCs w:val="32"/>
        </w:rPr>
        <w:t>医疗卫生与计划生育</w:t>
      </w:r>
      <w:r>
        <w:rPr>
          <w:rFonts w:hint="eastAsia" w:ascii="仿宋_GB2312" w:hAnsi="ˎ̥"/>
          <w:sz w:val="32"/>
          <w:szCs w:val="32"/>
        </w:rPr>
        <w:t xml:space="preserve">支出23万元，占0.41%； </w:t>
      </w:r>
      <w:r>
        <w:rPr>
          <w:rFonts w:ascii="仿宋_GB2312" w:hAnsi="ˎ̥"/>
          <w:b/>
          <w:bCs/>
          <w:sz w:val="32"/>
          <w:szCs w:val="32"/>
        </w:rPr>
        <w:t>住房保障（类）</w:t>
      </w:r>
      <w:r>
        <w:rPr>
          <w:rFonts w:ascii="仿宋_GB2312" w:hAnsi="ˎ̥"/>
          <w:sz w:val="32"/>
          <w:szCs w:val="32"/>
        </w:rPr>
        <w:t>支出</w:t>
      </w:r>
      <w:r>
        <w:rPr>
          <w:rFonts w:hint="eastAsia" w:ascii="仿宋_GB2312" w:hAnsi="ˎ̥"/>
          <w:sz w:val="32"/>
          <w:szCs w:val="32"/>
        </w:rPr>
        <w:t>63.67</w:t>
      </w:r>
      <w:r>
        <w:rPr>
          <w:rFonts w:ascii="仿宋_GB2312" w:hAnsi="ˎ̥"/>
          <w:sz w:val="32"/>
          <w:szCs w:val="32"/>
        </w:rPr>
        <w:t>万元，占</w:t>
      </w:r>
      <w:r>
        <w:rPr>
          <w:rFonts w:hint="eastAsia" w:ascii="仿宋_GB2312" w:hAnsi="ˎ̥"/>
          <w:sz w:val="32"/>
          <w:szCs w:val="32"/>
        </w:rPr>
        <w:t>1.12</w:t>
      </w:r>
      <w:r>
        <w:rPr>
          <w:rFonts w:ascii="仿宋_GB2312" w:hAnsi="ˎ̥"/>
          <w:sz w:val="32"/>
          <w:szCs w:val="32"/>
        </w:rPr>
        <w:t>%；</w:t>
      </w:r>
      <w:r>
        <w:rPr>
          <w:rFonts w:hint="eastAsia" w:ascii="仿宋_GB2312" w:hAnsi="ˎ̥"/>
          <w:b/>
          <w:sz w:val="32"/>
          <w:szCs w:val="32"/>
        </w:rPr>
        <w:t>城乡社区</w:t>
      </w:r>
      <w:r>
        <w:rPr>
          <w:rFonts w:hint="eastAsia" w:ascii="仿宋_GB2312" w:hAnsi="ˎ̥"/>
          <w:sz w:val="32"/>
          <w:szCs w:val="32"/>
        </w:rPr>
        <w:t>支出470.52万元，占8.30%</w:t>
      </w:r>
      <w:r>
        <w:rPr>
          <w:rFonts w:ascii="仿宋_GB2312" w:hAnsi="ˎ̥"/>
          <w:sz w:val="32"/>
          <w:szCs w:val="32"/>
        </w:rPr>
        <w:t>。</w:t>
      </w:r>
    </w:p>
    <w:p>
      <w:pPr>
        <w:shd w:val="clear" w:color="auto" w:fill="FFFFFF"/>
        <w:spacing w:before="100" w:beforeAutospacing="1" w:after="100" w:afterAutospacing="1"/>
        <w:ind w:firstLine="640" w:firstLineChars="200"/>
        <w:rPr>
          <w:rFonts w:ascii="仿宋_GB2312" w:hAnsi="ˎ̥"/>
          <w:sz w:val="32"/>
          <w:szCs w:val="32"/>
        </w:rPr>
      </w:pPr>
      <w:r>
        <w:rPr>
          <w:rFonts w:ascii="仿宋_GB2312" w:hAnsi="ˎ̥"/>
          <w:sz w:val="32"/>
          <w:szCs w:val="32"/>
        </w:rPr>
        <w:t>（根据各部门（单位）实际支出涉及的支出功能分类类级科目填列）（取自财决07表一般公共预算财政拨款收入支出决算表）</w:t>
      </w:r>
    </w:p>
    <w:p>
      <w:pPr>
        <w:shd w:val="clear" w:color="auto" w:fill="FFFFFF"/>
        <w:spacing w:before="100" w:beforeAutospacing="1" w:after="100" w:afterAutospacing="1"/>
        <w:ind w:firstLine="640" w:firstLineChars="200"/>
        <w:rPr>
          <w:rFonts w:ascii="楷体" w:hAnsi="楷体" w:eastAsia="楷体" w:cs="楷体"/>
          <w:sz w:val="32"/>
          <w:szCs w:val="32"/>
        </w:rPr>
      </w:pPr>
      <w:bookmarkStart w:id="91" w:name="_Toc29364_WPSOffice_Level2"/>
      <w:bookmarkStart w:id="92" w:name="_Toc25136_WPSOffice_Level2"/>
      <w:bookmarkStart w:id="93" w:name="_Toc22318_WPSOffice_Level2"/>
      <w:bookmarkStart w:id="94" w:name="_Toc15415_WPSOffice_Level2"/>
      <w:bookmarkStart w:id="95" w:name="_Toc21701_WPSOffice_Level2"/>
      <w:bookmarkStart w:id="96" w:name="_Toc9502_WPSOffice_Level2"/>
      <w:r>
        <w:rPr>
          <w:rFonts w:hint="eastAsia" w:ascii="楷体" w:hAnsi="楷体" w:eastAsia="楷体" w:cs="楷体"/>
          <w:sz w:val="32"/>
          <w:szCs w:val="32"/>
        </w:rPr>
        <w:t>（三）财政拨款支出决算具体情况。</w:t>
      </w:r>
      <w:bookmarkEnd w:id="91"/>
      <w:bookmarkEnd w:id="92"/>
      <w:bookmarkEnd w:id="93"/>
      <w:bookmarkEnd w:id="94"/>
      <w:bookmarkEnd w:id="95"/>
      <w:bookmarkEnd w:id="96"/>
    </w:p>
    <w:p>
      <w:pPr>
        <w:shd w:val="clear" w:color="auto" w:fill="FFFFFF"/>
        <w:spacing w:before="100" w:beforeAutospacing="1" w:after="100" w:afterAutospacing="1"/>
        <w:ind w:firstLine="640" w:firstLineChars="200"/>
        <w:rPr>
          <w:rFonts w:ascii="仿宋_GB2312" w:hAnsi="ˎ̥"/>
          <w:sz w:val="32"/>
          <w:szCs w:val="32"/>
        </w:rPr>
      </w:pPr>
      <w:r>
        <w:rPr>
          <w:rFonts w:ascii="仿宋_GB2312" w:hAnsi="ˎ̥"/>
          <w:sz w:val="32"/>
          <w:szCs w:val="32"/>
        </w:rPr>
        <w:t>2018年度财政拨款支出年初预算为</w:t>
      </w:r>
      <w:r>
        <w:rPr>
          <w:rFonts w:hint="eastAsia" w:ascii="仿宋_GB2312" w:hAnsi="ˎ̥"/>
          <w:sz w:val="32"/>
          <w:szCs w:val="32"/>
          <w:lang w:val="en-US" w:eastAsia="zh-CN"/>
        </w:rPr>
        <w:t>1655.45</w:t>
      </w:r>
      <w:r>
        <w:rPr>
          <w:rFonts w:ascii="仿宋_GB2312" w:hAnsi="ˎ̥"/>
          <w:sz w:val="32"/>
          <w:szCs w:val="32"/>
        </w:rPr>
        <w:t>万元，支出决算为</w:t>
      </w:r>
      <w:r>
        <w:rPr>
          <w:rFonts w:hint="eastAsia" w:ascii="仿宋_GB2312" w:hAnsi="ˎ̥"/>
          <w:sz w:val="32"/>
          <w:szCs w:val="32"/>
          <w:lang w:val="en-US" w:eastAsia="zh-CN"/>
        </w:rPr>
        <w:t>5770.95</w:t>
      </w:r>
      <w:r>
        <w:rPr>
          <w:rFonts w:ascii="仿宋_GB2312" w:hAnsi="ˎ̥"/>
          <w:sz w:val="32"/>
          <w:szCs w:val="32"/>
        </w:rPr>
        <w:t>万元，完成年初预算的</w:t>
      </w:r>
      <w:r>
        <w:rPr>
          <w:rFonts w:hint="eastAsia" w:ascii="仿宋_GB2312" w:hAnsi="ˎ̥"/>
          <w:sz w:val="32"/>
          <w:szCs w:val="32"/>
          <w:lang w:val="en-US" w:eastAsia="zh-CN"/>
        </w:rPr>
        <w:t>348.6</w:t>
      </w:r>
      <w:r>
        <w:rPr>
          <w:rFonts w:ascii="仿宋_GB2312" w:hAnsi="ˎ̥"/>
          <w:sz w:val="32"/>
          <w:szCs w:val="32"/>
        </w:rPr>
        <w:t>%。其中：（取自财决07表一般公共预算财政拨款收入支出决算表）</w:t>
      </w:r>
    </w:p>
    <w:p>
      <w:pPr>
        <w:shd w:val="clear" w:color="auto" w:fill="FFFFFF"/>
        <w:spacing w:before="100" w:beforeAutospacing="1" w:after="100" w:afterAutospacing="1"/>
        <w:ind w:firstLine="640" w:firstLineChars="200"/>
        <w:rPr>
          <w:rFonts w:ascii="仿宋_GB2312" w:hAnsi="ˎ̥"/>
          <w:b/>
          <w:sz w:val="32"/>
          <w:szCs w:val="32"/>
        </w:rPr>
      </w:pPr>
      <w:r>
        <w:rPr>
          <w:rFonts w:ascii="仿宋_GB2312" w:hAnsi="ˎ̥"/>
          <w:sz w:val="32"/>
          <w:szCs w:val="32"/>
        </w:rPr>
        <w:t>1.</w:t>
      </w:r>
      <w:r>
        <w:rPr>
          <w:rFonts w:ascii="仿宋_GB2312" w:hAnsi="ˎ̥"/>
          <w:b/>
          <w:sz w:val="32"/>
          <w:szCs w:val="32"/>
        </w:rPr>
        <w:t>一般公共服务（类）人大事务（款）行政运行（项）。</w:t>
      </w:r>
    </w:p>
    <w:p>
      <w:pPr>
        <w:ind w:firstLine="640" w:firstLineChars="200"/>
        <w:rPr>
          <w:rFonts w:hint="eastAsia" w:ascii="仿宋_GB2312" w:hAnsi="ˎ̥" w:eastAsia="仿宋_GB2312"/>
          <w:b/>
          <w:sz w:val="32"/>
          <w:szCs w:val="32"/>
        </w:rPr>
      </w:pPr>
      <w:r>
        <w:rPr>
          <w:rFonts w:hint="eastAsia" w:ascii="仿宋_GB2312" w:hAnsi="ˎ̥" w:eastAsia="仿宋_GB2312"/>
          <w:sz w:val="32"/>
          <w:szCs w:val="32"/>
        </w:rPr>
        <w:t>（1）</w:t>
      </w:r>
      <w:r>
        <w:rPr>
          <w:rFonts w:hint="eastAsia" w:ascii="仿宋_GB2312" w:hAnsi="ˎ̥" w:eastAsia="仿宋_GB2312"/>
          <w:b/>
          <w:sz w:val="32"/>
          <w:szCs w:val="32"/>
        </w:rPr>
        <w:t>一般公共服务（类）人大事务（款）行政运行（项）。</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年初预算为1</w:t>
      </w:r>
      <w:r>
        <w:rPr>
          <w:rFonts w:hint="eastAsia" w:ascii="仿宋_GB2312" w:hAnsi="ˎ̥" w:eastAsia="仿宋_GB2312"/>
          <w:sz w:val="32"/>
          <w:szCs w:val="32"/>
          <w:lang w:val="en-US" w:eastAsia="zh-CN"/>
        </w:rPr>
        <w:t>889.64</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5370.72</w:t>
      </w:r>
      <w:r>
        <w:rPr>
          <w:rFonts w:hint="eastAsia" w:ascii="仿宋_GB2312" w:hAnsi="ˎ̥" w:eastAsia="仿宋_GB2312"/>
          <w:sz w:val="32"/>
          <w:szCs w:val="32"/>
        </w:rPr>
        <w:t>万元，完成年初预算的2</w:t>
      </w:r>
      <w:r>
        <w:rPr>
          <w:rFonts w:hint="eastAsia" w:ascii="仿宋_GB2312" w:hAnsi="ˎ̥" w:eastAsia="仿宋_GB2312"/>
          <w:sz w:val="32"/>
          <w:szCs w:val="32"/>
          <w:lang w:val="en-US" w:eastAsia="zh-CN"/>
        </w:rPr>
        <w:t>84.22</w:t>
      </w:r>
      <w:r>
        <w:rPr>
          <w:rFonts w:hint="eastAsia" w:ascii="仿宋_GB2312" w:hAnsi="ˎ̥" w:eastAsia="仿宋_GB2312"/>
          <w:sz w:val="32"/>
          <w:szCs w:val="32"/>
        </w:rPr>
        <w:t>%。决算数大于预算数的主要原因：财政下拨12345热线经费</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（2）社会保障和就业（类）。</w:t>
      </w:r>
    </w:p>
    <w:p>
      <w:pPr>
        <w:ind w:firstLine="800" w:firstLineChars="250"/>
        <w:rPr>
          <w:rFonts w:hint="eastAsia" w:ascii="仿宋_GB2312" w:hAnsi="ˎ̥" w:eastAsia="仿宋_GB2312"/>
          <w:sz w:val="32"/>
          <w:szCs w:val="32"/>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92.54</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94.98</w:t>
      </w:r>
      <w:r>
        <w:rPr>
          <w:rFonts w:hint="eastAsia" w:ascii="仿宋_GB2312" w:hAnsi="ˎ̥" w:eastAsia="仿宋_GB2312"/>
          <w:sz w:val="32"/>
          <w:szCs w:val="32"/>
        </w:rPr>
        <w:t>万元，完成年初预算的1</w:t>
      </w:r>
      <w:r>
        <w:rPr>
          <w:rFonts w:hint="eastAsia" w:ascii="仿宋_GB2312" w:hAnsi="ˎ̥" w:eastAsia="仿宋_GB2312"/>
          <w:sz w:val="32"/>
          <w:szCs w:val="32"/>
          <w:lang w:val="en-US" w:eastAsia="zh-CN"/>
        </w:rPr>
        <w:t>02.64</w:t>
      </w:r>
      <w:r>
        <w:rPr>
          <w:rFonts w:hint="eastAsia" w:ascii="仿宋_GB2312" w:hAnsi="ˎ̥" w:eastAsia="仿宋_GB2312"/>
          <w:sz w:val="32"/>
          <w:szCs w:val="32"/>
        </w:rPr>
        <w:t>%。决算数大于预算数的主要原因：社保缴费基数提高。</w:t>
      </w:r>
    </w:p>
    <w:p>
      <w:pPr>
        <w:ind w:firstLine="800" w:firstLineChars="250"/>
        <w:rPr>
          <w:rFonts w:hint="eastAsia" w:ascii="仿宋_GB2312" w:hAnsi="ˎ̥" w:eastAsia="仿宋_GB2312"/>
          <w:sz w:val="32"/>
          <w:szCs w:val="32"/>
        </w:rPr>
      </w:pPr>
      <w:r>
        <w:rPr>
          <w:rFonts w:hint="eastAsia" w:ascii="仿宋_GB2312" w:hAnsi="ˎ̥" w:eastAsia="仿宋_GB2312"/>
          <w:sz w:val="32"/>
          <w:szCs w:val="32"/>
        </w:rPr>
        <w:t>（3）医疗卫生与生育。</w:t>
      </w:r>
    </w:p>
    <w:p>
      <w:pPr>
        <w:ind w:firstLine="800" w:firstLineChars="250"/>
        <w:rPr>
          <w:rFonts w:hint="eastAsia" w:ascii="仿宋_GB2312" w:hAnsi="ˎ̥" w:eastAsia="仿宋_GB2312"/>
          <w:sz w:val="32"/>
          <w:szCs w:val="32"/>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39.38</w:t>
      </w:r>
      <w:r>
        <w:rPr>
          <w:rFonts w:hint="eastAsia" w:ascii="仿宋_GB2312" w:hAnsi="ˎ̥" w:eastAsia="仿宋_GB2312"/>
          <w:sz w:val="32"/>
          <w:szCs w:val="32"/>
        </w:rPr>
        <w:t>万元，支出决算为23万元，完成年初预算的</w:t>
      </w:r>
      <w:r>
        <w:rPr>
          <w:rFonts w:hint="eastAsia" w:ascii="仿宋_GB2312" w:hAnsi="ˎ̥" w:eastAsia="仿宋_GB2312"/>
          <w:sz w:val="32"/>
          <w:szCs w:val="32"/>
          <w:lang w:val="en-US" w:eastAsia="zh-CN"/>
        </w:rPr>
        <w:t>58.41</w:t>
      </w:r>
      <w:r>
        <w:rPr>
          <w:rFonts w:hint="eastAsia" w:ascii="仿宋_GB2312" w:hAnsi="ˎ̥" w:eastAsia="仿宋_GB2312"/>
          <w:sz w:val="32"/>
          <w:szCs w:val="32"/>
        </w:rPr>
        <w:t>%。决算数小于预算数的主要原因：退休人员的产生。</w:t>
      </w:r>
    </w:p>
    <w:p>
      <w:pPr>
        <w:ind w:firstLine="800" w:firstLineChars="250"/>
        <w:rPr>
          <w:rFonts w:hint="eastAsia" w:ascii="仿宋_GB2312" w:hAnsi="ˎ̥" w:eastAsia="仿宋_GB2312"/>
          <w:sz w:val="32"/>
          <w:szCs w:val="32"/>
        </w:rPr>
      </w:pPr>
      <w:r>
        <w:rPr>
          <w:rFonts w:hint="eastAsia" w:ascii="仿宋_GB2312" w:hAnsi="ˎ̥" w:eastAsia="仿宋_GB2312"/>
          <w:sz w:val="32"/>
          <w:szCs w:val="32"/>
        </w:rPr>
        <w:t>（4）住房保障（类）支出</w:t>
      </w:r>
    </w:p>
    <w:p>
      <w:pPr>
        <w:ind w:firstLine="800" w:firstLineChars="250"/>
        <w:rPr>
          <w:rFonts w:hint="default" w:ascii="仿宋_GB2312" w:hAnsi="ˎ̥" w:eastAsia="仿宋_GB2312"/>
          <w:sz w:val="32"/>
          <w:szCs w:val="32"/>
          <w:lang w:val="en-US" w:eastAsia="zh-CN"/>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45.55</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63.67</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139.78</w:t>
      </w:r>
      <w:r>
        <w:rPr>
          <w:rFonts w:hint="eastAsia" w:ascii="仿宋_GB2312" w:hAnsi="ˎ̥" w:eastAsia="仿宋_GB2312"/>
          <w:sz w:val="32"/>
          <w:szCs w:val="32"/>
        </w:rPr>
        <w:t>%。决算数大于预算数的主要原因：一是下属单位海口市公共资源交易中心发放购房补贴；二是新进人员发生的住房公积金。</w:t>
      </w:r>
    </w:p>
    <w:p>
      <w:pPr>
        <w:shd w:val="clear" w:color="auto" w:fill="FFFFFF"/>
        <w:spacing w:before="100" w:beforeAutospacing="1" w:after="100" w:afterAutospacing="1"/>
        <w:ind w:firstLine="640" w:firstLineChars="200"/>
        <w:rPr>
          <w:rFonts w:ascii="仿宋_GB2312" w:hAnsi="ˎ̥"/>
          <w:sz w:val="32"/>
          <w:szCs w:val="32"/>
        </w:rPr>
      </w:pPr>
      <w:r>
        <w:rPr>
          <w:rFonts w:hint="eastAsia" w:ascii="仿宋_GB2312" w:hAnsi="ˎ̥"/>
          <w:sz w:val="32"/>
          <w:szCs w:val="32"/>
          <w:lang w:val="en-US" w:eastAsia="zh-CN"/>
        </w:rPr>
        <w:t xml:space="preserve"> </w:t>
      </w:r>
      <w:r>
        <w:rPr>
          <w:rFonts w:ascii="仿宋_GB2312" w:hAnsi="ˎ̥"/>
          <w:sz w:val="32"/>
          <w:szCs w:val="32"/>
        </w:rPr>
        <w:t>（本部分支出决算数字可取自公开05表一般公共预算财政拨款支出决算表，年初预算数可取自各部门（单位）年初预算大本。）</w:t>
      </w:r>
    </w:p>
    <w:p>
      <w:pPr>
        <w:shd w:val="clear" w:color="auto" w:fill="FFFFFF"/>
        <w:spacing w:before="100" w:beforeAutospacing="1" w:after="100" w:afterAutospacing="1"/>
        <w:ind w:firstLine="640" w:firstLineChars="200"/>
        <w:rPr>
          <w:rFonts w:ascii="仿宋_GB2312" w:hAnsi="ˎ̥"/>
          <w:sz w:val="32"/>
          <w:szCs w:val="32"/>
        </w:rPr>
      </w:pPr>
      <w:r>
        <w:rPr>
          <w:rFonts w:ascii="仿宋_GB2312" w:hAnsi="ˎ̥"/>
          <w:sz w:val="32"/>
          <w:szCs w:val="32"/>
        </w:rPr>
        <w:t>（根据各部门（单位）实际支出涉及的支出功能分类项级科目填列）</w:t>
      </w:r>
    </w:p>
    <w:p>
      <w:pPr>
        <w:shd w:val="clear" w:color="auto" w:fill="FFFFFF"/>
        <w:spacing w:before="100" w:beforeAutospacing="1" w:after="100" w:afterAutospacing="1"/>
        <w:ind w:firstLine="627" w:firstLineChars="196"/>
        <w:rPr>
          <w:rFonts w:ascii="黑体" w:hAnsi="黑体" w:eastAsia="黑体" w:cs="黑体"/>
          <w:sz w:val="32"/>
          <w:szCs w:val="32"/>
        </w:rPr>
      </w:pPr>
      <w:r>
        <w:rPr>
          <w:rFonts w:hint="eastAsia" w:ascii="黑体" w:hAnsi="黑体" w:eastAsia="黑体" w:cs="黑体"/>
          <w:bCs/>
          <w:sz w:val="32"/>
          <w:szCs w:val="32"/>
        </w:rPr>
        <w:t>六、一般公共预算财政拨款基本支出决算情况说明。</w:t>
      </w:r>
    </w:p>
    <w:p>
      <w:pPr>
        <w:shd w:val="clear" w:color="auto" w:fill="FFFFFF"/>
        <w:tabs>
          <w:tab w:val="center" w:pos="4473"/>
        </w:tabs>
        <w:spacing w:before="100" w:beforeAutospacing="1" w:after="100" w:afterAutospacing="1"/>
        <w:ind w:firstLine="640" w:firstLineChars="200"/>
        <w:rPr>
          <w:rFonts w:ascii="仿宋_GB2312" w:hAnsi="ˎ̥"/>
          <w:sz w:val="32"/>
          <w:szCs w:val="32"/>
        </w:rPr>
      </w:pPr>
      <w:r>
        <w:rPr>
          <w:rFonts w:ascii="仿宋_GB2312" w:hAnsi="ˎ̥"/>
          <w:sz w:val="32"/>
          <w:szCs w:val="32"/>
        </w:rPr>
        <w:t>2018年度财政拨款基本支出</w:t>
      </w:r>
      <w:r>
        <w:rPr>
          <w:rFonts w:hint="eastAsia" w:ascii="仿宋_GB2312" w:hAnsi="ˎ̥"/>
          <w:sz w:val="32"/>
          <w:szCs w:val="32"/>
        </w:rPr>
        <w:t>974.22</w:t>
      </w:r>
      <w:r>
        <w:rPr>
          <w:rFonts w:ascii="仿宋_GB2312" w:hAnsi="ˎ̥"/>
          <w:sz w:val="32"/>
          <w:szCs w:val="32"/>
        </w:rPr>
        <w:t>万元，其中：人员经费867.20万元，主要包括：基本工资、津贴补贴、奖金、社会保障缴费、伙食费、伙食补助费、绩效工资、其他工资福利支出等、离休费、退休费、退职（役）费、抚恤金、生活补助、救济费、医疗费、助学金、奖励金、生产补贴、住房公积金、提租补贴、购房补贴、其他对个人和家庭的补助支出等。公用经费107.01万元，主要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w:t>
      </w:r>
    </w:p>
    <w:p>
      <w:pPr>
        <w:shd w:val="clear" w:color="auto" w:fill="FFFFFF"/>
        <w:tabs>
          <w:tab w:val="center" w:pos="4473"/>
        </w:tabs>
        <w:spacing w:before="100" w:beforeAutospacing="1" w:after="100" w:afterAutospacing="1"/>
        <w:ind w:firstLine="640" w:firstLineChars="200"/>
        <w:rPr>
          <w:rFonts w:ascii="仿宋_GB2312" w:hAnsi="ˎ̥"/>
          <w:sz w:val="32"/>
          <w:szCs w:val="32"/>
        </w:rPr>
      </w:pPr>
      <w:r>
        <w:rPr>
          <w:rFonts w:ascii="仿宋_GB2312" w:hAnsi="ˎ̥"/>
          <w:sz w:val="32"/>
          <w:szCs w:val="32"/>
        </w:rPr>
        <w:t>（取自财决08-1表一般公共预算财政拨款基本支出明细表）</w:t>
      </w:r>
    </w:p>
    <w:p>
      <w:pPr>
        <w:shd w:val="clear" w:color="auto" w:fill="FFFFFF"/>
        <w:tabs>
          <w:tab w:val="center" w:pos="4473"/>
        </w:tabs>
        <w:spacing w:before="100" w:beforeAutospacing="1" w:after="100" w:afterAutospacing="1"/>
        <w:ind w:firstLine="627" w:firstLineChars="196"/>
        <w:rPr>
          <w:rFonts w:ascii="黑体" w:hAnsi="黑体" w:eastAsia="黑体" w:cs="黑体"/>
          <w:bCs/>
          <w:sz w:val="32"/>
          <w:szCs w:val="32"/>
        </w:rPr>
      </w:pPr>
      <w:r>
        <w:rPr>
          <w:rFonts w:hint="eastAsia" w:ascii="黑体" w:hAnsi="黑体" w:eastAsia="黑体" w:cs="黑体"/>
          <w:bCs/>
          <w:sz w:val="32"/>
          <w:szCs w:val="32"/>
        </w:rPr>
        <w:t>七、政府性基金预算财政拨款收入支出决算情况说明</w:t>
      </w:r>
    </w:p>
    <w:p>
      <w:pPr>
        <w:tabs>
          <w:tab w:val="center" w:pos="4473"/>
        </w:tabs>
        <w:ind w:firstLine="640" w:firstLineChars="200"/>
        <w:rPr>
          <w:rFonts w:hint="eastAsia" w:ascii="仿宋_GB2312" w:hAnsi="ˎ̥" w:eastAsia="仿宋_GB2312"/>
          <w:sz w:val="32"/>
          <w:szCs w:val="32"/>
        </w:rPr>
      </w:pPr>
      <w:r>
        <w:rPr>
          <w:rFonts w:hint="eastAsia" w:ascii="仿宋_GB2312" w:hAnsi="ˎ̥" w:eastAsia="仿宋_GB2312" w:cs="Times New Roman"/>
          <w:bCs w:val="0"/>
          <w:sz w:val="32"/>
          <w:szCs w:val="32"/>
          <w:lang w:val="en-US" w:eastAsia="zh-CN"/>
        </w:rPr>
        <w:t>（一）2018年度政府性基金预算财政拨款收入125.52</w:t>
      </w:r>
      <w:r>
        <w:rPr>
          <w:rFonts w:hint="eastAsia" w:ascii="仿宋_GB2312" w:hAnsi="ˎ̥" w:eastAsia="仿宋_GB2312"/>
          <w:sz w:val="32"/>
          <w:szCs w:val="32"/>
        </w:rPr>
        <w:t>万元</w:t>
      </w:r>
      <w:r>
        <w:rPr>
          <w:rFonts w:hint="eastAsia" w:ascii="仿宋_GB2312" w:hAnsi="ˎ̥" w:eastAsia="仿宋_GB2312"/>
          <w:sz w:val="32"/>
          <w:szCs w:val="32"/>
          <w:lang w:eastAsia="zh-CN"/>
        </w:rPr>
        <w:t>，主要是国有土地使用权出让收入及应专项债务收入安排的支出（什么钱），较</w:t>
      </w:r>
      <w:r>
        <w:rPr>
          <w:rFonts w:hint="eastAsia" w:ascii="仿宋_GB2312" w:hAnsi="ˎ̥" w:eastAsia="仿宋_GB2312"/>
          <w:sz w:val="32"/>
          <w:szCs w:val="32"/>
          <w:lang w:val="en-US" w:eastAsia="zh-CN"/>
        </w:rPr>
        <w:t>2017年度增加125.52</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增长</w:t>
      </w:r>
      <w:r>
        <w:rPr>
          <w:rFonts w:hint="eastAsia" w:ascii="仿宋_GB2312" w:hAnsi="ˎ̥" w:eastAsia="仿宋_GB2312"/>
          <w:sz w:val="32"/>
          <w:szCs w:val="32"/>
          <w:lang w:val="en-US" w:eastAsia="zh-CN"/>
        </w:rPr>
        <w:t>100</w:t>
      </w:r>
      <w:r>
        <w:rPr>
          <w:rFonts w:hint="eastAsia" w:ascii="仿宋_GB2312" w:hAnsi="ˎ̥" w:eastAsia="仿宋_GB2312"/>
          <w:sz w:val="32"/>
          <w:szCs w:val="32"/>
        </w:rPr>
        <w:t>%。主要原因：一是</w:t>
      </w:r>
      <w:r>
        <w:rPr>
          <w:rFonts w:hint="eastAsia" w:ascii="仿宋_GB2312" w:hAnsi="ˎ̥" w:eastAsia="仿宋_GB2312"/>
          <w:sz w:val="32"/>
          <w:szCs w:val="32"/>
          <w:lang w:eastAsia="zh-CN"/>
        </w:rPr>
        <w:t>用于海口市信息网络整合建设项目（社区服务信息化系统专项）</w:t>
      </w:r>
      <w:r>
        <w:rPr>
          <w:rFonts w:hint="eastAsia" w:ascii="仿宋_GB2312" w:hAnsi="ˎ̥" w:eastAsia="仿宋_GB2312"/>
          <w:sz w:val="32"/>
          <w:szCs w:val="32"/>
        </w:rPr>
        <w:t>。</w:t>
      </w:r>
    </w:p>
    <w:p>
      <w:pPr>
        <w:tabs>
          <w:tab w:val="center" w:pos="4473"/>
        </w:tabs>
        <w:ind w:firstLine="640" w:firstLineChars="200"/>
        <w:rPr>
          <w:rFonts w:hint="eastAsia" w:ascii="仿宋_GB2312" w:hAnsi="ˎ̥" w:eastAsia="仿宋_GB2312"/>
          <w:sz w:val="32"/>
          <w:szCs w:val="32"/>
        </w:rPr>
      </w:pPr>
      <w:r>
        <w:rPr>
          <w:rFonts w:hint="eastAsia" w:ascii="仿宋_GB2312" w:hAnsi="ˎ̥" w:eastAsia="仿宋_GB2312" w:cs="Times New Roman"/>
          <w:bCs w:val="0"/>
          <w:sz w:val="32"/>
          <w:szCs w:val="32"/>
          <w:lang w:val="en-US" w:eastAsia="zh-CN"/>
        </w:rPr>
        <w:t>（二）2018年度政府性基金预算财政拨款支出125.52</w:t>
      </w:r>
      <w:r>
        <w:rPr>
          <w:rFonts w:hint="eastAsia" w:ascii="仿宋_GB2312" w:hAnsi="ˎ̥" w:eastAsia="仿宋_GB2312"/>
          <w:sz w:val="32"/>
          <w:szCs w:val="32"/>
        </w:rPr>
        <w:t>万元</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2017年度增加125.52</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增长</w:t>
      </w:r>
      <w:r>
        <w:rPr>
          <w:rFonts w:hint="eastAsia" w:ascii="仿宋_GB2312" w:hAnsi="ˎ̥" w:eastAsia="仿宋_GB2312"/>
          <w:sz w:val="32"/>
          <w:szCs w:val="32"/>
          <w:lang w:val="en-US" w:eastAsia="zh-CN"/>
        </w:rPr>
        <w:t>100</w:t>
      </w:r>
      <w:r>
        <w:rPr>
          <w:rFonts w:hint="eastAsia" w:ascii="仿宋_GB2312" w:hAnsi="ˎ̥" w:eastAsia="仿宋_GB2312"/>
          <w:sz w:val="32"/>
          <w:szCs w:val="32"/>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（三）2018年度</w:t>
      </w:r>
      <w:r>
        <w:rPr>
          <w:rFonts w:hint="eastAsia" w:ascii="仿宋_GB2312" w:hAnsi="ˎ̥" w:eastAsia="仿宋_GB2312"/>
          <w:sz w:val="32"/>
          <w:szCs w:val="32"/>
        </w:rPr>
        <w:t>财政拨款支出年初预算为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125.52</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100</w:t>
      </w:r>
      <w:r>
        <w:rPr>
          <w:rFonts w:hint="eastAsia" w:ascii="仿宋_GB2312" w:hAnsi="ˎ̥" w:eastAsia="仿宋_GB2312"/>
          <w:sz w:val="32"/>
          <w:szCs w:val="32"/>
        </w:rPr>
        <w:t>%。其中：</w:t>
      </w:r>
    </w:p>
    <w:p>
      <w:pPr>
        <w:ind w:firstLine="640" w:firstLineChars="200"/>
        <w:rPr>
          <w:rFonts w:hint="eastAsia" w:ascii="仿宋_GB2312" w:hAnsi="ˎ̥" w:eastAsia="仿宋_GB2312"/>
          <w:b/>
          <w:sz w:val="32"/>
          <w:szCs w:val="32"/>
        </w:rPr>
      </w:pPr>
      <w:r>
        <w:rPr>
          <w:rFonts w:hint="eastAsia" w:ascii="仿宋_GB2312" w:hAnsi="ˎ̥" w:eastAsia="仿宋_GB2312"/>
          <w:sz w:val="32"/>
          <w:szCs w:val="32"/>
          <w:lang w:val="en-US" w:eastAsia="zh-CN"/>
        </w:rPr>
        <w:t>1.城乡社区支出</w:t>
      </w:r>
      <w:r>
        <w:rPr>
          <w:rFonts w:hint="eastAsia" w:ascii="仿宋_GB2312" w:hAnsi="ˎ̥" w:eastAsia="仿宋_GB2312"/>
          <w:b/>
          <w:sz w:val="32"/>
          <w:szCs w:val="32"/>
        </w:rPr>
        <w:t>（类）</w:t>
      </w:r>
      <w:r>
        <w:rPr>
          <w:rFonts w:hint="eastAsia" w:ascii="仿宋_GB2312" w:hAnsi="ˎ̥" w:eastAsia="仿宋_GB2312"/>
          <w:b/>
          <w:sz w:val="32"/>
          <w:szCs w:val="32"/>
          <w:lang w:eastAsia="zh-CN"/>
        </w:rPr>
        <w:t>国有土地使用权出让收入及对应专项债务收入安排的支出</w:t>
      </w:r>
      <w:r>
        <w:rPr>
          <w:rFonts w:hint="eastAsia" w:ascii="仿宋_GB2312" w:hAnsi="ˎ̥" w:eastAsia="仿宋_GB2312"/>
          <w:b/>
          <w:sz w:val="32"/>
          <w:szCs w:val="32"/>
        </w:rPr>
        <w:t>（款）</w:t>
      </w:r>
      <w:r>
        <w:rPr>
          <w:rFonts w:hint="eastAsia" w:ascii="仿宋_GB2312" w:hAnsi="ˎ̥" w:eastAsia="仿宋_GB2312"/>
          <w:b/>
          <w:sz w:val="32"/>
          <w:szCs w:val="32"/>
          <w:lang w:eastAsia="zh-CN"/>
        </w:rPr>
        <w:t>城市建设支出</w:t>
      </w:r>
      <w:r>
        <w:rPr>
          <w:rFonts w:hint="eastAsia" w:ascii="仿宋_GB2312" w:hAnsi="ˎ̥" w:eastAsia="仿宋_GB2312"/>
          <w:b/>
          <w:sz w:val="32"/>
          <w:szCs w:val="32"/>
        </w:rPr>
        <w:t>（项）。</w:t>
      </w:r>
    </w:p>
    <w:p>
      <w:pPr>
        <w:rPr>
          <w:rFonts w:hint="eastAsia" w:ascii="仿宋_GB2312" w:hAnsi="ˎ̥" w:eastAsia="仿宋_GB2312"/>
          <w:sz w:val="32"/>
          <w:szCs w:val="32"/>
        </w:rPr>
      </w:pPr>
      <w:r>
        <w:rPr>
          <w:rFonts w:hint="eastAsia" w:ascii="仿宋_GB2312" w:hAnsi="ˎ̥" w:eastAsia="仿宋_GB2312"/>
          <w:sz w:val="32"/>
          <w:szCs w:val="32"/>
          <w:lang w:val="en-US" w:eastAsia="zh-CN"/>
        </w:rPr>
        <w:t xml:space="preserve">    </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125.52</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100</w:t>
      </w:r>
      <w:r>
        <w:rPr>
          <w:rFonts w:hint="eastAsia" w:ascii="仿宋_GB2312" w:hAnsi="ˎ̥" w:eastAsia="仿宋_GB2312"/>
          <w:sz w:val="32"/>
          <w:szCs w:val="32"/>
        </w:rPr>
        <w:t>%。决算数大于预算数的主要原因：一是</w:t>
      </w:r>
      <w:r>
        <w:rPr>
          <w:rFonts w:hint="eastAsia" w:ascii="仿宋_GB2312" w:hAnsi="ˎ̥" w:eastAsia="仿宋_GB2312"/>
          <w:sz w:val="32"/>
          <w:szCs w:val="32"/>
          <w:lang w:eastAsia="zh-CN"/>
        </w:rPr>
        <w:t>根据项目进度追加经费</w:t>
      </w:r>
      <w:r>
        <w:rPr>
          <w:rFonts w:hint="eastAsia" w:ascii="仿宋_GB2312" w:hAnsi="ˎ̥" w:eastAsia="仿宋_GB2312"/>
          <w:sz w:val="32"/>
          <w:szCs w:val="32"/>
        </w:rPr>
        <w:t>。</w:t>
      </w:r>
    </w:p>
    <w:p>
      <w:pPr>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rPr>
        <w:t>（根据各部门（单位）实际支出涉及的支出功能分类</w:t>
      </w:r>
      <w:r>
        <w:rPr>
          <w:rFonts w:hint="eastAsia" w:ascii="仿宋_GB2312" w:hAnsi="ˎ̥" w:eastAsia="仿宋_GB2312"/>
          <w:sz w:val="32"/>
          <w:szCs w:val="32"/>
          <w:lang w:val="en-US" w:eastAsia="zh-CN"/>
        </w:rPr>
        <w:t>项级</w:t>
      </w:r>
      <w:r>
        <w:rPr>
          <w:rFonts w:hint="eastAsia" w:ascii="仿宋_GB2312" w:hAnsi="ˎ̥" w:eastAsia="仿宋_GB2312"/>
          <w:sz w:val="32"/>
          <w:szCs w:val="32"/>
        </w:rPr>
        <w:t>科目填列）</w:t>
      </w:r>
    </w:p>
    <w:p>
      <w:pPr>
        <w:tabs>
          <w:tab w:val="center" w:pos="4473"/>
        </w:tabs>
        <w:ind w:firstLine="640" w:firstLineChars="200"/>
        <w:rPr>
          <w:rFonts w:hint="eastAsia" w:ascii="仿宋_GB2312" w:hAnsi="ˎ̥" w:eastAsia="仿宋_GB2312" w:cs="Times New Roman"/>
          <w:bCs w:val="0"/>
          <w:sz w:val="32"/>
          <w:szCs w:val="32"/>
          <w:lang w:eastAsia="zh-CN"/>
        </w:rPr>
      </w:pPr>
      <w:r>
        <w:rPr>
          <w:rFonts w:hint="eastAsia" w:ascii="仿宋_GB2312" w:hAnsi="ˎ̥" w:eastAsia="仿宋_GB2312" w:cs="Times New Roman"/>
          <w:bCs w:val="0"/>
          <w:sz w:val="32"/>
          <w:szCs w:val="32"/>
          <w:lang w:eastAsia="zh-CN"/>
        </w:rPr>
        <w:t>（本部分支出决算数字取自财决</w:t>
      </w:r>
      <w:r>
        <w:rPr>
          <w:rFonts w:hint="eastAsia" w:ascii="仿宋_GB2312" w:hAnsi="ˎ̥" w:eastAsia="仿宋_GB2312" w:cs="Times New Roman"/>
          <w:bCs w:val="0"/>
          <w:sz w:val="32"/>
          <w:szCs w:val="32"/>
          <w:lang w:val="en-US" w:eastAsia="zh-CN"/>
        </w:rPr>
        <w:t>09表政府性基金预算财政拨款收入支出决算表</w:t>
      </w:r>
      <w:r>
        <w:rPr>
          <w:rFonts w:hint="eastAsia" w:ascii="仿宋_GB2312" w:hAnsi="ˎ̥" w:eastAsia="仿宋_GB2312" w:cs="Times New Roman"/>
          <w:bCs w:val="0"/>
          <w:sz w:val="32"/>
          <w:szCs w:val="32"/>
          <w:lang w:eastAsia="zh-CN"/>
        </w:rPr>
        <w:t>）</w:t>
      </w:r>
    </w:p>
    <w:p>
      <w:pPr>
        <w:shd w:val="clear" w:color="auto" w:fill="FFFFFF"/>
        <w:spacing w:before="100" w:beforeAutospacing="1" w:after="100" w:afterAutospacing="1"/>
        <w:ind w:firstLine="627" w:firstLineChars="196"/>
        <w:rPr>
          <w:rFonts w:ascii="仿宋_GB2312" w:hAnsi="ˎ̥" w:eastAsia="楷体_GB2312"/>
          <w:sz w:val="32"/>
          <w:szCs w:val="32"/>
        </w:rPr>
      </w:pPr>
      <w:r>
        <w:rPr>
          <w:rFonts w:hint="eastAsia" w:ascii="仿宋_GB2312" w:hAnsi="ˎ̥" w:eastAsia="黑体"/>
          <w:sz w:val="32"/>
          <w:szCs w:val="32"/>
          <w:lang w:val="en-US" w:eastAsia="zh-CN"/>
        </w:rPr>
        <w:t xml:space="preserve"> </w:t>
      </w:r>
      <w:r>
        <w:rPr>
          <w:rFonts w:hint="eastAsia" w:ascii="黑体" w:hAnsi="黑体" w:eastAsia="黑体" w:cs="黑体"/>
          <w:bCs/>
          <w:sz w:val="32"/>
          <w:szCs w:val="32"/>
        </w:rPr>
        <w:t>八、一般公共预算财政拨款“三公”经费支出决算情况说明</w:t>
      </w:r>
    </w:p>
    <w:p>
      <w:pPr>
        <w:shd w:val="clear" w:color="auto" w:fill="FFFFFF"/>
        <w:spacing w:before="100" w:beforeAutospacing="1" w:after="100" w:afterAutospacing="1"/>
        <w:ind w:firstLine="643" w:firstLineChars="200"/>
        <w:rPr>
          <w:rFonts w:ascii="楷体" w:hAnsi="楷体" w:eastAsia="楷体" w:cs="楷体"/>
          <w:sz w:val="32"/>
          <w:szCs w:val="32"/>
        </w:rPr>
      </w:pPr>
      <w:r>
        <w:rPr>
          <w:rFonts w:hint="eastAsia" w:ascii="楷体" w:hAnsi="楷体" w:eastAsia="楷体" w:cs="楷体"/>
          <w:b/>
          <w:sz w:val="32"/>
          <w:szCs w:val="32"/>
        </w:rPr>
        <w:t>（一）一般公共预算财政拨款“三公”经费支出决算总体情况说明。</w:t>
      </w:r>
    </w:p>
    <w:p>
      <w:pPr>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lang w:eastAsia="zh-CN"/>
        </w:rPr>
        <w:t>2018年度</w:t>
      </w:r>
      <w:r>
        <w:rPr>
          <w:rFonts w:hint="eastAsia" w:ascii="仿宋_GB2312" w:hAnsi="ˎ̥" w:eastAsia="仿宋_GB2312"/>
          <w:sz w:val="32"/>
          <w:szCs w:val="32"/>
          <w:lang w:val="en-US" w:eastAsia="zh-CN"/>
        </w:rPr>
        <w:t>一般公共预算财政拨款</w:t>
      </w:r>
      <w:r>
        <w:rPr>
          <w:rFonts w:hint="eastAsia" w:ascii="仿宋_GB2312" w:hAnsi="ˎ̥" w:eastAsia="仿宋_GB2312"/>
          <w:sz w:val="32"/>
          <w:szCs w:val="32"/>
        </w:rPr>
        <w:t>“三公”经费支出预算为</w:t>
      </w:r>
      <w:r>
        <w:rPr>
          <w:rFonts w:hint="eastAsia" w:ascii="仿宋_GB2312" w:hAnsi="ˎ̥" w:eastAsia="仿宋_GB2312"/>
          <w:sz w:val="32"/>
          <w:szCs w:val="32"/>
          <w:lang w:val="en-US" w:eastAsia="zh-CN"/>
        </w:rPr>
        <w:t>17.5</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6.11</w:t>
      </w:r>
      <w:r>
        <w:rPr>
          <w:rFonts w:hint="eastAsia" w:ascii="仿宋_GB2312" w:hAnsi="ˎ̥" w:eastAsia="仿宋_GB2312"/>
          <w:sz w:val="32"/>
          <w:szCs w:val="32"/>
        </w:rPr>
        <w:t>万元，完成预算的</w:t>
      </w:r>
      <w:r>
        <w:rPr>
          <w:rFonts w:hint="eastAsia" w:ascii="仿宋_GB2312" w:hAnsi="ˎ̥" w:eastAsia="仿宋_GB2312"/>
          <w:sz w:val="32"/>
          <w:szCs w:val="32"/>
          <w:lang w:val="en-US" w:eastAsia="zh-CN"/>
        </w:rPr>
        <w:t>34.91</w:t>
      </w:r>
      <w:r>
        <w:rPr>
          <w:rFonts w:hint="eastAsia" w:ascii="仿宋_GB2312" w:hAnsi="ˎ̥" w:eastAsia="仿宋_GB2312"/>
          <w:sz w:val="32"/>
          <w:szCs w:val="32"/>
        </w:rPr>
        <w:t>%</w:t>
      </w:r>
      <w:r>
        <w:rPr>
          <w:rFonts w:hint="eastAsia" w:ascii="仿宋_GB2312" w:hAnsi="ˎ̥" w:eastAsia="仿宋_GB2312"/>
          <w:sz w:val="32"/>
          <w:szCs w:val="32"/>
          <w:lang w:eastAsia="zh-CN"/>
        </w:rPr>
        <w:t>，</w:t>
      </w:r>
      <w:r>
        <w:rPr>
          <w:rFonts w:hint="eastAsia" w:ascii="仿宋_GB2312" w:hAnsi="ˎ̥" w:eastAsia="仿宋_GB2312"/>
          <w:sz w:val="32"/>
          <w:szCs w:val="32"/>
        </w:rPr>
        <w:t>决算数小于预算数的主要原因：一是</w:t>
      </w:r>
      <w:r>
        <w:rPr>
          <w:rFonts w:hint="eastAsia" w:ascii="仿宋_GB2312" w:hAnsi="ˎ̥" w:eastAsia="仿宋_GB2312"/>
          <w:sz w:val="32"/>
          <w:szCs w:val="32"/>
          <w:lang w:eastAsia="zh-CN"/>
        </w:rPr>
        <w:t>下属单位</w:t>
      </w:r>
      <w:r>
        <w:rPr>
          <w:rFonts w:hint="eastAsia" w:ascii="仿宋_GB2312" w:hAnsi="ˎ̥" w:eastAsia="仿宋_GB2312"/>
          <w:sz w:val="32"/>
          <w:szCs w:val="32"/>
          <w:lang w:val="en-US" w:eastAsia="zh-CN"/>
        </w:rPr>
        <w:t>4辆车用自有资金支付公务用车。</w:t>
      </w:r>
    </w:p>
    <w:p>
      <w:pPr>
        <w:shd w:val="clear" w:color="auto" w:fill="FFFFFF"/>
        <w:spacing w:before="100" w:beforeAutospacing="1" w:after="100" w:afterAutospacing="1"/>
        <w:rPr>
          <w:rFonts w:ascii="楷体" w:hAnsi="楷体" w:eastAsia="楷体" w:cs="楷体"/>
          <w:sz w:val="32"/>
          <w:szCs w:val="32"/>
        </w:rPr>
      </w:pPr>
      <w:r>
        <w:rPr>
          <w:rFonts w:hint="eastAsia" w:ascii="仿宋_GB2312" w:hAnsi="ˎ̥" w:eastAsia="楷体"/>
          <w:sz w:val="32"/>
          <w:szCs w:val="32"/>
          <w:lang w:val="en-US" w:eastAsia="zh-CN"/>
        </w:rPr>
        <w:t xml:space="preserve"> </w:t>
      </w:r>
      <w:r>
        <w:rPr>
          <w:rFonts w:hint="eastAsia" w:ascii="楷体" w:hAnsi="楷体" w:eastAsia="楷体" w:cs="楷体"/>
          <w:sz w:val="32"/>
          <w:szCs w:val="32"/>
        </w:rPr>
        <w:t xml:space="preserve">    </w:t>
      </w:r>
      <w:r>
        <w:rPr>
          <w:rFonts w:hint="eastAsia" w:ascii="楷体" w:hAnsi="楷体" w:eastAsia="楷体" w:cs="楷体"/>
          <w:b/>
          <w:bCs/>
          <w:sz w:val="32"/>
          <w:szCs w:val="32"/>
        </w:rPr>
        <w:t>（二）一般公共预算财政拨款</w:t>
      </w:r>
      <w:r>
        <w:rPr>
          <w:rFonts w:hint="eastAsia" w:ascii="楷体" w:hAnsi="楷体" w:eastAsia="楷体" w:cs="楷体"/>
          <w:b/>
          <w:sz w:val="32"/>
          <w:szCs w:val="32"/>
        </w:rPr>
        <w:t>“三公”经费财政拨款支出决算具体情况说明。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2018年度</w:t>
      </w:r>
      <w:r>
        <w:rPr>
          <w:rFonts w:hint="eastAsia" w:ascii="仿宋_GB2312" w:hAnsi="ˎ̥" w:eastAsia="仿宋_GB2312"/>
          <w:sz w:val="32"/>
          <w:szCs w:val="32"/>
          <w:lang w:val="en-US" w:eastAsia="zh-CN"/>
        </w:rPr>
        <w:t>一般公共预算财政拨款</w:t>
      </w:r>
      <w:r>
        <w:rPr>
          <w:rFonts w:hint="eastAsia" w:ascii="仿宋_GB2312" w:hAnsi="ˎ̥" w:eastAsia="仿宋_GB2312"/>
          <w:sz w:val="32"/>
          <w:szCs w:val="32"/>
        </w:rPr>
        <w:t>“三公”经费支出决算中，因公出国（境）费支出决算</w:t>
      </w:r>
      <w:r>
        <w:rPr>
          <w:rFonts w:hint="eastAsia" w:ascii="仿宋_GB2312" w:hAnsi="ˎ̥" w:eastAsia="仿宋_GB2312"/>
          <w:sz w:val="32"/>
          <w:szCs w:val="32"/>
          <w:lang w:val="en-US" w:eastAsia="zh-CN"/>
        </w:rPr>
        <w:t>1.65</w:t>
      </w:r>
      <w:r>
        <w:rPr>
          <w:rFonts w:hint="eastAsia" w:ascii="仿宋_GB2312" w:hAnsi="ˎ̥" w:eastAsia="仿宋_GB2312"/>
          <w:sz w:val="32"/>
          <w:szCs w:val="32"/>
        </w:rPr>
        <w:t>万元，占</w:t>
      </w:r>
      <w:r>
        <w:rPr>
          <w:rFonts w:hint="eastAsia" w:ascii="仿宋_GB2312" w:hAnsi="ˎ̥" w:eastAsia="仿宋_GB2312"/>
          <w:sz w:val="32"/>
          <w:szCs w:val="32"/>
          <w:lang w:val="en-US" w:eastAsia="zh-CN"/>
        </w:rPr>
        <w:t>9.43</w:t>
      </w:r>
      <w:r>
        <w:rPr>
          <w:rFonts w:hint="eastAsia" w:ascii="仿宋_GB2312" w:hAnsi="ˎ̥" w:eastAsia="仿宋_GB2312"/>
          <w:sz w:val="32"/>
          <w:szCs w:val="32"/>
        </w:rPr>
        <w:t>%；公务用车购置及运行费支出决算</w:t>
      </w:r>
      <w:r>
        <w:rPr>
          <w:rFonts w:hint="eastAsia" w:ascii="仿宋_GB2312" w:hAnsi="ˎ̥" w:eastAsia="仿宋_GB2312"/>
          <w:sz w:val="32"/>
          <w:szCs w:val="32"/>
          <w:lang w:val="en-US" w:eastAsia="zh-CN"/>
        </w:rPr>
        <w:t>3.5</w:t>
      </w:r>
      <w:r>
        <w:rPr>
          <w:rFonts w:hint="eastAsia" w:ascii="仿宋_GB2312" w:hAnsi="ˎ̥" w:eastAsia="仿宋_GB2312"/>
          <w:sz w:val="32"/>
          <w:szCs w:val="32"/>
        </w:rPr>
        <w:t>万元，占</w:t>
      </w:r>
      <w:r>
        <w:rPr>
          <w:rFonts w:hint="eastAsia" w:ascii="仿宋_GB2312" w:hAnsi="ˎ̥" w:eastAsia="仿宋_GB2312"/>
          <w:sz w:val="32"/>
          <w:szCs w:val="32"/>
          <w:lang w:val="en-US" w:eastAsia="zh-CN"/>
        </w:rPr>
        <w:t>20</w:t>
      </w:r>
      <w:r>
        <w:rPr>
          <w:rFonts w:hint="eastAsia" w:ascii="仿宋_GB2312" w:hAnsi="ˎ̥" w:eastAsia="仿宋_GB2312"/>
          <w:sz w:val="32"/>
          <w:szCs w:val="32"/>
        </w:rPr>
        <w:t>%；公务接待费支出决算</w:t>
      </w:r>
      <w:r>
        <w:rPr>
          <w:rFonts w:hint="eastAsia" w:ascii="仿宋_GB2312" w:hAnsi="ˎ̥" w:eastAsia="仿宋_GB2312"/>
          <w:sz w:val="32"/>
          <w:szCs w:val="32"/>
          <w:lang w:val="en-US" w:eastAsia="zh-CN"/>
        </w:rPr>
        <w:t>0.96</w:t>
      </w:r>
      <w:r>
        <w:rPr>
          <w:rFonts w:hint="eastAsia" w:ascii="仿宋_GB2312" w:hAnsi="ˎ̥" w:eastAsia="仿宋_GB2312"/>
          <w:sz w:val="32"/>
          <w:szCs w:val="32"/>
        </w:rPr>
        <w:t>万元，占</w:t>
      </w:r>
      <w:r>
        <w:rPr>
          <w:rFonts w:hint="eastAsia" w:ascii="仿宋_GB2312" w:hAnsi="ˎ̥" w:eastAsia="仿宋_GB2312"/>
          <w:sz w:val="32"/>
          <w:szCs w:val="32"/>
          <w:lang w:val="en-US" w:eastAsia="zh-CN"/>
        </w:rPr>
        <w:t>5.49</w:t>
      </w:r>
      <w:r>
        <w:rPr>
          <w:rFonts w:hint="eastAsia" w:ascii="仿宋_GB2312" w:hAnsi="ˎ̥" w:eastAsia="仿宋_GB2312"/>
          <w:sz w:val="32"/>
          <w:szCs w:val="32"/>
        </w:rPr>
        <w:t>%。具体情况如下：</w:t>
      </w:r>
    </w:p>
    <w:p>
      <w:pPr>
        <w:ind w:firstLine="643" w:firstLineChars="200"/>
        <w:rPr>
          <w:rFonts w:hint="eastAsia" w:ascii="仿宋_GB2312" w:hAnsi="ˎ̥" w:eastAsia="仿宋_GB2312"/>
          <w:sz w:val="32"/>
          <w:szCs w:val="32"/>
        </w:rPr>
      </w:pPr>
      <w:r>
        <w:rPr>
          <w:rFonts w:hint="eastAsia" w:ascii="仿宋_GB2312" w:hAnsi="ˎ̥" w:eastAsia="仿宋_GB2312"/>
          <w:b/>
          <w:sz w:val="32"/>
          <w:szCs w:val="32"/>
          <w:lang w:val="en-US" w:eastAsia="zh-CN"/>
        </w:rPr>
        <w:t>1.</w:t>
      </w:r>
      <w:r>
        <w:rPr>
          <w:rFonts w:hint="eastAsia" w:ascii="仿宋_GB2312" w:hAnsi="ˎ̥" w:eastAsia="仿宋_GB2312"/>
          <w:b/>
          <w:sz w:val="32"/>
          <w:szCs w:val="32"/>
        </w:rPr>
        <w:t>因公出国（境）费</w:t>
      </w:r>
      <w:r>
        <w:rPr>
          <w:rFonts w:hint="eastAsia" w:ascii="仿宋_GB2312" w:hAnsi="ˎ̥" w:eastAsia="仿宋_GB2312"/>
          <w:sz w:val="32"/>
          <w:szCs w:val="32"/>
        </w:rPr>
        <w:t>支出[</w:t>
      </w:r>
      <w:r>
        <w:rPr>
          <w:rFonts w:hint="eastAsia" w:ascii="仿宋_GB2312" w:hAnsi="ˎ̥" w:eastAsia="仿宋_GB2312"/>
          <w:sz w:val="32"/>
          <w:szCs w:val="32"/>
          <w:lang w:val="en-US" w:eastAsia="zh-CN"/>
        </w:rPr>
        <w:t>1.65</w:t>
      </w:r>
      <w:r>
        <w:rPr>
          <w:rFonts w:hint="eastAsia" w:ascii="仿宋_GB2312" w:hAnsi="ˎ̥" w:eastAsia="仿宋_GB2312"/>
          <w:sz w:val="32"/>
          <w:szCs w:val="32"/>
        </w:rPr>
        <w:t>]万元。全年安排因公出国（境）团组[</w:t>
      </w:r>
      <w:r>
        <w:rPr>
          <w:rFonts w:hint="eastAsia" w:ascii="仿宋_GB2312" w:hAnsi="ˎ̥" w:eastAsia="仿宋_GB2312"/>
          <w:sz w:val="32"/>
          <w:szCs w:val="32"/>
          <w:lang w:val="en-US" w:eastAsia="zh-CN"/>
        </w:rPr>
        <w:t>0</w:t>
      </w:r>
      <w:r>
        <w:rPr>
          <w:rFonts w:hint="eastAsia" w:ascii="仿宋_GB2312" w:hAnsi="ˎ̥" w:eastAsia="仿宋_GB2312"/>
          <w:sz w:val="32"/>
          <w:szCs w:val="32"/>
        </w:rPr>
        <w:t>]个，因公出国（境）[1]人次。开支内容包括：</w:t>
      </w:r>
    </w:p>
    <w:p>
      <w:pPr>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支出1.65万元。主要用于出国费用</w:t>
      </w:r>
    </w:p>
    <w:p>
      <w:pPr>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rPr>
        <w:t>因公出国（境）费支出决算</w:t>
      </w:r>
      <w:r>
        <w:rPr>
          <w:rFonts w:hint="eastAsia" w:ascii="仿宋_GB2312" w:hAnsi="ˎ̥" w:eastAsia="仿宋_GB2312"/>
          <w:sz w:val="32"/>
          <w:szCs w:val="32"/>
          <w:lang w:val="en-US" w:eastAsia="zh-CN"/>
        </w:rPr>
        <w:t>比2017年度增加0.15万元，增长9.1%。主要原因是因公出国。</w:t>
      </w:r>
    </w:p>
    <w:p>
      <w:pPr>
        <w:numPr>
          <w:ilvl w:val="0"/>
          <w:numId w:val="0"/>
        </w:numPr>
        <w:ind w:firstLine="0" w:firstLineChars="0"/>
        <w:rPr>
          <w:rFonts w:hint="eastAsia" w:ascii="仿宋_GB2312" w:hAnsi="ˎ̥" w:eastAsia="仿宋_GB2312"/>
          <w:sz w:val="32"/>
          <w:szCs w:val="32"/>
        </w:rPr>
      </w:pPr>
      <w:r>
        <w:rPr>
          <w:rFonts w:hint="eastAsia" w:ascii="仿宋_GB2312" w:hAnsi="ˎ̥" w:eastAsia="仿宋_GB2312"/>
          <w:b/>
          <w:sz w:val="32"/>
          <w:szCs w:val="32"/>
          <w:lang w:val="en-US" w:eastAsia="zh-CN"/>
        </w:rPr>
        <w:t xml:space="preserve">    2.</w:t>
      </w:r>
      <w:r>
        <w:rPr>
          <w:rFonts w:hint="eastAsia" w:ascii="仿宋_GB2312" w:hAnsi="ˎ̥" w:eastAsia="仿宋_GB2312"/>
          <w:b/>
          <w:sz w:val="32"/>
          <w:szCs w:val="32"/>
        </w:rPr>
        <w:t>公务用车购置及运行费支出</w:t>
      </w:r>
      <w:r>
        <w:rPr>
          <w:rFonts w:hint="eastAsia" w:ascii="仿宋_GB2312" w:hAnsi="ˎ̥" w:eastAsia="仿宋_GB2312"/>
          <w:b/>
          <w:sz w:val="32"/>
          <w:szCs w:val="32"/>
          <w:lang w:val="en-US" w:eastAsia="zh-CN"/>
        </w:rPr>
        <w:t>3.5</w:t>
      </w:r>
      <w:r>
        <w:rPr>
          <w:rFonts w:hint="eastAsia" w:ascii="仿宋_GB2312" w:hAnsi="ˎ̥" w:eastAsia="仿宋_GB2312"/>
          <w:sz w:val="32"/>
          <w:szCs w:val="32"/>
        </w:rPr>
        <w:t>万元。其中：</w:t>
      </w:r>
    </w:p>
    <w:p>
      <w:pPr>
        <w:numPr>
          <w:ilvl w:val="0"/>
          <w:numId w:val="0"/>
        </w:numPr>
        <w:ind w:firstLine="643" w:firstLineChars="200"/>
        <w:rPr>
          <w:rFonts w:hint="eastAsia" w:ascii="仿宋_GB2312" w:hAnsi="ˎ̥" w:eastAsia="仿宋_GB2312"/>
          <w:sz w:val="32"/>
          <w:szCs w:val="32"/>
        </w:rPr>
      </w:pPr>
      <w:r>
        <w:rPr>
          <w:rFonts w:hint="eastAsia" w:ascii="仿宋_GB2312" w:hAnsi="ˎ̥" w:eastAsia="仿宋_GB2312"/>
          <w:b/>
          <w:sz w:val="32"/>
          <w:szCs w:val="32"/>
        </w:rPr>
        <w:t>公务用车购置支出</w:t>
      </w:r>
      <w:r>
        <w:rPr>
          <w:rFonts w:hint="eastAsia" w:ascii="仿宋_GB2312" w:hAnsi="ˎ̥" w:eastAsia="仿宋_GB2312"/>
          <w:b/>
          <w:sz w:val="32"/>
          <w:szCs w:val="32"/>
          <w:lang w:val="en-US" w:eastAsia="zh-CN"/>
        </w:rPr>
        <w:t>0</w:t>
      </w:r>
      <w:r>
        <w:rPr>
          <w:rFonts w:hint="eastAsia" w:ascii="仿宋_GB2312" w:hAnsi="ˎ̥" w:eastAsia="仿宋_GB2312"/>
          <w:sz w:val="32"/>
          <w:szCs w:val="32"/>
        </w:rPr>
        <w:t>万元，全年购置公务用车</w:t>
      </w:r>
      <w:r>
        <w:rPr>
          <w:rFonts w:hint="eastAsia" w:ascii="仿宋_GB2312" w:hAnsi="ˎ̥" w:eastAsia="仿宋_GB2312"/>
          <w:sz w:val="32"/>
          <w:szCs w:val="32"/>
          <w:lang w:val="en-US" w:eastAsia="zh-CN"/>
        </w:rPr>
        <w:t>0</w:t>
      </w:r>
      <w:r>
        <w:rPr>
          <w:rFonts w:hint="eastAsia" w:ascii="仿宋_GB2312" w:hAnsi="ˎ̥" w:eastAsia="仿宋_GB2312"/>
          <w:sz w:val="32"/>
          <w:szCs w:val="32"/>
        </w:rPr>
        <w:t>辆，年末公务用车保有量</w:t>
      </w:r>
      <w:r>
        <w:rPr>
          <w:rFonts w:hint="eastAsia" w:ascii="仿宋_GB2312" w:hAnsi="ˎ̥" w:eastAsia="仿宋_GB2312"/>
          <w:sz w:val="32"/>
          <w:szCs w:val="32"/>
          <w:lang w:val="en-US" w:eastAsia="zh-CN"/>
        </w:rPr>
        <w:t>5</w:t>
      </w:r>
      <w:r>
        <w:rPr>
          <w:rFonts w:hint="eastAsia" w:ascii="仿宋_GB2312" w:hAnsi="ˎ̥" w:eastAsia="仿宋_GB2312"/>
          <w:sz w:val="32"/>
          <w:szCs w:val="32"/>
        </w:rPr>
        <w:t>辆。</w:t>
      </w:r>
    </w:p>
    <w:p>
      <w:pPr>
        <w:numPr>
          <w:ilvl w:val="0"/>
          <w:numId w:val="0"/>
        </w:numPr>
        <w:ind w:firstLine="643" w:firstLineChars="200"/>
        <w:rPr>
          <w:rFonts w:hint="eastAsia" w:ascii="仿宋_GB2312" w:hAnsi="ˎ̥" w:eastAsia="仿宋_GB2312"/>
          <w:sz w:val="32"/>
          <w:szCs w:val="32"/>
        </w:rPr>
      </w:pPr>
      <w:r>
        <w:rPr>
          <w:rFonts w:hint="eastAsia" w:ascii="仿宋_GB2312" w:hAnsi="ˎ̥" w:eastAsia="仿宋_GB2312"/>
          <w:b/>
          <w:sz w:val="32"/>
          <w:szCs w:val="32"/>
        </w:rPr>
        <w:t>公务用车运行</w:t>
      </w:r>
      <w:r>
        <w:rPr>
          <w:rFonts w:hint="eastAsia" w:ascii="仿宋_GB2312" w:hAnsi="ˎ̥" w:eastAsia="仿宋_GB2312"/>
          <w:b/>
          <w:sz w:val="32"/>
          <w:szCs w:val="32"/>
          <w:lang w:eastAsia="zh-CN"/>
        </w:rPr>
        <w:t>维护费</w:t>
      </w:r>
      <w:r>
        <w:rPr>
          <w:rFonts w:hint="eastAsia" w:ascii="仿宋_GB2312" w:hAnsi="ˎ̥" w:eastAsia="仿宋_GB2312"/>
          <w:sz w:val="32"/>
          <w:szCs w:val="32"/>
        </w:rPr>
        <w:t>支出</w:t>
      </w:r>
      <w:r>
        <w:rPr>
          <w:rFonts w:hint="eastAsia" w:ascii="仿宋_GB2312" w:hAnsi="ˎ̥" w:eastAsia="仿宋_GB2312"/>
          <w:sz w:val="32"/>
          <w:szCs w:val="32"/>
          <w:lang w:val="en-US" w:eastAsia="zh-CN"/>
        </w:rPr>
        <w:t>3.5</w:t>
      </w:r>
      <w:r>
        <w:rPr>
          <w:rFonts w:hint="eastAsia" w:ascii="仿宋_GB2312" w:hAnsi="ˎ̥" w:eastAsia="仿宋_GB2312"/>
          <w:sz w:val="32"/>
          <w:szCs w:val="32"/>
        </w:rPr>
        <w:t>万元，主要用于</w:t>
      </w:r>
      <w:r>
        <w:rPr>
          <w:rFonts w:hint="eastAsia" w:ascii="仿宋_GB2312" w:hAnsi="ˎ̥" w:eastAsia="仿宋_GB2312"/>
          <w:sz w:val="32"/>
          <w:szCs w:val="32"/>
          <w:lang w:eastAsia="zh-CN"/>
        </w:rPr>
        <w:t>公务用车</w:t>
      </w:r>
      <w:r>
        <w:rPr>
          <w:rFonts w:hint="eastAsia" w:ascii="仿宋_GB2312" w:hAnsi="ˎ̥" w:eastAsia="仿宋_GB2312"/>
          <w:sz w:val="32"/>
          <w:szCs w:val="32"/>
        </w:rPr>
        <w:t>。</w:t>
      </w:r>
    </w:p>
    <w:p>
      <w:pPr>
        <w:ind w:firstLine="640" w:firstLineChars="200"/>
        <w:rPr>
          <w:rFonts w:hint="eastAsia" w:ascii="仿宋_GB2312" w:hAnsi="ˎ̥" w:eastAsia="仿宋_GB2312"/>
          <w:b w:val="0"/>
          <w:bCs/>
          <w:sz w:val="32"/>
          <w:szCs w:val="32"/>
          <w:lang w:val="en-US" w:eastAsia="zh-CN"/>
        </w:rPr>
      </w:pPr>
      <w:r>
        <w:rPr>
          <w:rFonts w:hint="eastAsia" w:ascii="仿宋_GB2312" w:hAnsi="ˎ̥" w:eastAsia="仿宋_GB2312"/>
          <w:b w:val="0"/>
          <w:bCs/>
          <w:sz w:val="32"/>
          <w:szCs w:val="32"/>
        </w:rPr>
        <w:t>公务用车购置及运行费支出</w:t>
      </w:r>
      <w:r>
        <w:rPr>
          <w:rFonts w:hint="eastAsia" w:ascii="仿宋_GB2312" w:hAnsi="ˎ̥" w:eastAsia="仿宋_GB2312"/>
          <w:b w:val="0"/>
          <w:bCs/>
          <w:sz w:val="32"/>
          <w:szCs w:val="32"/>
          <w:lang w:val="en-US" w:eastAsia="zh-CN"/>
        </w:rPr>
        <w:t>决算</w:t>
      </w:r>
      <w:r>
        <w:rPr>
          <w:rFonts w:hint="eastAsia" w:ascii="仿宋_GB2312" w:hAnsi="ˎ̥" w:eastAsia="仿宋_GB2312"/>
          <w:sz w:val="32"/>
          <w:szCs w:val="32"/>
          <w:lang w:val="en-US" w:eastAsia="zh-CN"/>
        </w:rPr>
        <w:t>比2017年度少19.9万元，下降85.04%。主要原因是下属单位用自有资金支付公务用车。</w:t>
      </w:r>
    </w:p>
    <w:p>
      <w:pPr>
        <w:numPr>
          <w:ilvl w:val="0"/>
          <w:numId w:val="0"/>
        </w:numPr>
        <w:ind w:left="0" w:leftChars="0" w:firstLine="0" w:firstLineChars="0"/>
        <w:rPr>
          <w:rFonts w:hint="eastAsia" w:ascii="仿宋_GB2312" w:hAnsi="ˎ̥" w:eastAsia="仿宋_GB2312"/>
          <w:sz w:val="32"/>
          <w:szCs w:val="32"/>
          <w:lang w:val="en-US" w:eastAsia="zh-CN"/>
        </w:rPr>
      </w:pPr>
      <w:r>
        <w:rPr>
          <w:rFonts w:hint="eastAsia" w:ascii="仿宋_GB2312" w:hAnsi="ˎ̥" w:eastAsia="仿宋_GB2312"/>
          <w:b/>
          <w:sz w:val="32"/>
          <w:szCs w:val="32"/>
          <w:lang w:val="en-US" w:eastAsia="zh-CN"/>
        </w:rPr>
        <w:t xml:space="preserve">    3.</w:t>
      </w:r>
      <w:r>
        <w:rPr>
          <w:rFonts w:hint="eastAsia" w:ascii="仿宋_GB2312" w:hAnsi="ˎ̥" w:eastAsia="仿宋_GB2312"/>
          <w:b/>
          <w:sz w:val="32"/>
          <w:szCs w:val="32"/>
        </w:rPr>
        <w:t>公务接待费支出</w:t>
      </w:r>
      <w:r>
        <w:rPr>
          <w:rFonts w:hint="eastAsia" w:ascii="仿宋_GB2312" w:hAnsi="ˎ̥" w:eastAsia="仿宋_GB2312"/>
          <w:b/>
          <w:sz w:val="32"/>
          <w:szCs w:val="32"/>
          <w:lang w:val="en-US" w:eastAsia="zh-CN"/>
        </w:rPr>
        <w:t>0.96</w:t>
      </w:r>
      <w:r>
        <w:rPr>
          <w:rFonts w:hint="eastAsia" w:ascii="仿宋_GB2312" w:hAnsi="ˎ̥" w:eastAsia="仿宋_GB2312"/>
          <w:sz w:val="32"/>
          <w:szCs w:val="32"/>
        </w:rPr>
        <w:t>万元，</w:t>
      </w:r>
      <w:r>
        <w:rPr>
          <w:rFonts w:hint="eastAsia" w:ascii="仿宋_GB2312" w:hAnsi="ˎ̥" w:eastAsia="仿宋_GB2312"/>
          <w:sz w:val="32"/>
          <w:szCs w:val="32"/>
          <w:lang w:val="en-US" w:eastAsia="zh-CN"/>
        </w:rPr>
        <w:t>其中：</w:t>
      </w:r>
    </w:p>
    <w:p>
      <w:pPr>
        <w:numPr>
          <w:ilvl w:val="0"/>
          <w:numId w:val="0"/>
        </w:numPr>
        <w:ind w:left="0" w:leftChars="0"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highlight w:val="none"/>
          <w:lang w:val="en-US" w:eastAsia="zh-CN"/>
        </w:rPr>
        <w:t>公务接待费支出决算比2017年度增加0.67万元，增长69.8%。主要原因是兄弟单位来交流学习。</w:t>
      </w:r>
    </w:p>
    <w:p>
      <w:pPr>
        <w:numPr>
          <w:ilvl w:val="0"/>
          <w:numId w:val="0"/>
        </w:numPr>
        <w:ind w:left="0" w:leftChars="0" w:firstLine="643" w:firstLineChars="200"/>
        <w:rPr>
          <w:rFonts w:hint="eastAsia" w:ascii="仿宋_GB2312" w:hAnsi="ˎ̥" w:eastAsia="仿宋_GB2312"/>
          <w:sz w:val="32"/>
          <w:szCs w:val="32"/>
        </w:rPr>
      </w:pPr>
      <w:r>
        <w:rPr>
          <w:rFonts w:hint="eastAsia" w:ascii="仿宋_GB2312" w:hAnsi="ˎ̥" w:eastAsia="仿宋_GB2312"/>
          <w:b/>
          <w:sz w:val="32"/>
          <w:szCs w:val="32"/>
          <w:lang w:eastAsia="zh-CN"/>
        </w:rPr>
        <w:t>国内接待费</w:t>
      </w:r>
      <w:r>
        <w:rPr>
          <w:rFonts w:hint="eastAsia" w:ascii="仿宋_GB2312" w:hAnsi="ˎ̥" w:eastAsia="仿宋_GB2312"/>
          <w:sz w:val="32"/>
          <w:szCs w:val="32"/>
        </w:rPr>
        <w:t>支出</w:t>
      </w:r>
      <w:r>
        <w:rPr>
          <w:rFonts w:hint="eastAsia" w:ascii="仿宋_GB2312" w:hAnsi="ˎ̥" w:eastAsia="仿宋_GB2312"/>
          <w:sz w:val="32"/>
          <w:szCs w:val="32"/>
          <w:lang w:val="en-US" w:eastAsia="zh-CN"/>
        </w:rPr>
        <w:t>0.96</w:t>
      </w:r>
      <w:r>
        <w:rPr>
          <w:rFonts w:hint="eastAsia" w:ascii="仿宋_GB2312" w:hAnsi="ˎ̥" w:eastAsia="仿宋_GB2312"/>
          <w:sz w:val="32"/>
          <w:szCs w:val="32"/>
        </w:rPr>
        <w:t>万元，</w:t>
      </w:r>
      <w:r>
        <w:rPr>
          <w:rFonts w:hint="eastAsia" w:ascii="仿宋_GB2312" w:hAnsi="ˎ̥" w:eastAsia="仿宋_GB2312"/>
          <w:sz w:val="32"/>
          <w:szCs w:val="32"/>
          <w:lang w:eastAsia="zh-CN"/>
        </w:rPr>
        <w:t>国内公务接待</w:t>
      </w:r>
      <w:r>
        <w:rPr>
          <w:rFonts w:hint="eastAsia" w:ascii="仿宋_GB2312" w:hAnsi="ˎ̥" w:eastAsia="仿宋_GB2312"/>
          <w:sz w:val="32"/>
          <w:szCs w:val="32"/>
          <w:lang w:val="en-US" w:eastAsia="zh-CN"/>
        </w:rPr>
        <w:t>12</w:t>
      </w:r>
      <w:r>
        <w:rPr>
          <w:rFonts w:hint="eastAsia" w:ascii="仿宋_GB2312" w:hAnsi="ˎ̥" w:eastAsia="仿宋_GB2312"/>
          <w:sz w:val="32"/>
          <w:szCs w:val="32"/>
          <w:lang w:eastAsia="zh-CN"/>
        </w:rPr>
        <w:t>批次，接待</w:t>
      </w:r>
      <w:r>
        <w:rPr>
          <w:rFonts w:hint="eastAsia" w:ascii="仿宋_GB2312" w:hAnsi="ˎ̥" w:eastAsia="仿宋_GB2312"/>
          <w:sz w:val="32"/>
          <w:szCs w:val="32"/>
          <w:lang w:val="en-US" w:eastAsia="zh-CN"/>
        </w:rPr>
        <w:t>138</w:t>
      </w:r>
      <w:r>
        <w:rPr>
          <w:rFonts w:hint="eastAsia" w:ascii="仿宋_GB2312" w:hAnsi="ˎ̥" w:eastAsia="仿宋_GB2312"/>
          <w:sz w:val="32"/>
          <w:szCs w:val="32"/>
          <w:lang w:eastAsia="zh-CN"/>
        </w:rPr>
        <w:t>人次；</w:t>
      </w:r>
      <w:r>
        <w:rPr>
          <w:rFonts w:hint="eastAsia" w:ascii="仿宋_GB2312" w:hAnsi="ˎ̥" w:eastAsia="仿宋_GB2312"/>
          <w:sz w:val="32"/>
          <w:szCs w:val="32"/>
        </w:rPr>
        <w:t>主要用于</w:t>
      </w:r>
      <w:r>
        <w:rPr>
          <w:rFonts w:hint="eastAsia" w:ascii="仿宋_GB2312" w:hAnsi="ˎ̥" w:eastAsia="仿宋_GB2312"/>
          <w:sz w:val="32"/>
          <w:szCs w:val="32"/>
          <w:lang w:eastAsia="zh-CN"/>
        </w:rPr>
        <w:t>兄弟单位来交流学习</w:t>
      </w:r>
      <w:r>
        <w:rPr>
          <w:rFonts w:hint="eastAsia" w:ascii="仿宋_GB2312" w:hAnsi="ˎ̥" w:eastAsia="仿宋_GB2312"/>
          <w:sz w:val="32"/>
          <w:szCs w:val="32"/>
        </w:rPr>
        <w:t>。</w:t>
      </w:r>
    </w:p>
    <w:p>
      <w:pPr>
        <w:ind w:firstLine="640" w:firstLineChars="200"/>
        <w:rPr>
          <w:rFonts w:hint="eastAsia" w:ascii="仿宋_GB2312" w:hAnsi="ˎ̥" w:eastAsia="仿宋_GB2312"/>
          <w:sz w:val="32"/>
          <w:szCs w:val="32"/>
          <w:highlight w:val="none"/>
          <w:lang w:val="en-US" w:eastAsia="zh-CN"/>
        </w:rPr>
      </w:pPr>
      <w:r>
        <w:rPr>
          <w:rFonts w:hint="eastAsia" w:ascii="仿宋_GB2312" w:hAnsi="ˎ̥" w:eastAsia="仿宋_GB2312"/>
          <w:sz w:val="32"/>
          <w:szCs w:val="32"/>
        </w:rPr>
        <w:t>国（境）外接待费</w:t>
      </w:r>
      <w:r>
        <w:rPr>
          <w:rFonts w:hint="eastAsia" w:ascii="仿宋_GB2312" w:hAnsi="ˎ̥" w:eastAsia="仿宋_GB2312"/>
          <w:sz w:val="32"/>
          <w:szCs w:val="32"/>
          <w:lang w:eastAsia="zh-CN"/>
        </w:rPr>
        <w:t>支出</w:t>
      </w:r>
      <w:r>
        <w:rPr>
          <w:rFonts w:hint="eastAsia" w:ascii="仿宋_GB2312" w:hAnsi="ˎ̥" w:eastAsia="仿宋_GB2312"/>
          <w:sz w:val="32"/>
          <w:szCs w:val="32"/>
          <w:lang w:val="en-US" w:eastAsia="zh-CN"/>
        </w:rPr>
        <w:t>0</w:t>
      </w:r>
      <w:r>
        <w:rPr>
          <w:rFonts w:hint="eastAsia" w:ascii="仿宋_GB2312" w:hAnsi="ˎ̥" w:eastAsia="仿宋_GB2312"/>
          <w:sz w:val="32"/>
          <w:szCs w:val="32"/>
          <w:lang w:eastAsia="zh-CN"/>
        </w:rPr>
        <w:t>万元，</w:t>
      </w:r>
      <w:r>
        <w:rPr>
          <w:rFonts w:hint="eastAsia" w:ascii="仿宋_GB2312" w:hAnsi="ˎ̥" w:eastAsia="仿宋_GB2312"/>
          <w:sz w:val="32"/>
          <w:szCs w:val="32"/>
        </w:rPr>
        <w:t>国（境）外公务接待</w:t>
      </w:r>
      <w:r>
        <w:rPr>
          <w:rFonts w:hint="eastAsia" w:ascii="仿宋_GB2312" w:hAnsi="ˎ̥" w:eastAsia="仿宋_GB2312"/>
          <w:sz w:val="32"/>
          <w:szCs w:val="32"/>
          <w:lang w:val="en-US" w:eastAsia="zh-CN"/>
        </w:rPr>
        <w:t>0</w:t>
      </w:r>
      <w:r>
        <w:rPr>
          <w:rFonts w:hint="eastAsia" w:ascii="仿宋_GB2312" w:hAnsi="ˎ̥" w:eastAsia="仿宋_GB2312"/>
          <w:sz w:val="32"/>
          <w:szCs w:val="32"/>
        </w:rPr>
        <w:t>批次</w:t>
      </w:r>
      <w:r>
        <w:rPr>
          <w:rFonts w:hint="eastAsia" w:ascii="仿宋_GB2312" w:hAnsi="ˎ̥" w:eastAsia="仿宋_GB2312"/>
          <w:sz w:val="32"/>
          <w:szCs w:val="32"/>
          <w:lang w:eastAsia="zh-CN"/>
        </w:rPr>
        <w:t>，接待</w:t>
      </w:r>
      <w:r>
        <w:rPr>
          <w:rFonts w:hint="eastAsia" w:ascii="仿宋_GB2312" w:hAnsi="ˎ̥" w:eastAsia="仿宋_GB2312"/>
          <w:sz w:val="32"/>
          <w:szCs w:val="32"/>
          <w:lang w:val="en-US" w:eastAsia="zh-CN"/>
        </w:rPr>
        <w:t>0</w:t>
      </w:r>
      <w:r>
        <w:rPr>
          <w:rFonts w:hint="eastAsia" w:ascii="仿宋_GB2312" w:hAnsi="ˎ̥" w:eastAsia="仿宋_GB2312"/>
          <w:sz w:val="32"/>
          <w:szCs w:val="32"/>
          <w:lang w:eastAsia="zh-CN"/>
        </w:rPr>
        <w:t>人次。</w:t>
      </w:r>
    </w:p>
    <w:p>
      <w:pPr>
        <w:numPr>
          <w:ilvl w:val="0"/>
          <w:numId w:val="0"/>
        </w:numPr>
        <w:ind w:left="0" w:leftChars="0"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（本表取自决算报表CS05表。）</w:t>
      </w:r>
    </w:p>
    <w:p>
      <w:pPr>
        <w:numPr>
          <w:ilvl w:val="0"/>
          <w:numId w:val="0"/>
        </w:numPr>
        <w:ind w:left="0" w:leftChars="0"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2018年度“三公”经费预算数、决算数可取自2017年度部门决算报表CS05表部门决算相关信息统计表，2017年度“三公”经费预算数、决算数可取自2017年度部门决算报表CS05表部门决算相关信息统计表。出国团组数、出国人次，公务用车购置数、公务用车保有量，接待团组数、接待人次可取自可取自2017、2018年度CS05表部门决算相关信息统计表。）</w:t>
      </w:r>
    </w:p>
    <w:p>
      <w:pPr>
        <w:shd w:val="clear" w:color="auto" w:fill="FFFFFF"/>
        <w:spacing w:before="100" w:beforeAutospacing="1" w:after="100" w:afterAutospacing="1"/>
        <w:ind w:firstLine="627" w:firstLineChars="196"/>
        <w:rPr>
          <w:rFonts w:hint="eastAsia" w:ascii="仿宋_GB2312" w:hAnsi="ˎ̥" w:eastAsia="黑体"/>
          <w:sz w:val="32"/>
          <w:szCs w:val="32"/>
          <w:lang w:val="en-US" w:eastAsia="zh-CN"/>
        </w:rPr>
      </w:pPr>
      <w:r>
        <w:rPr>
          <w:rFonts w:hint="eastAsia" w:ascii="仿宋_GB2312" w:hAnsi="ˎ̥" w:eastAsia="黑体"/>
          <w:sz w:val="32"/>
          <w:szCs w:val="32"/>
          <w:lang w:val="en-US" w:eastAsia="zh-CN"/>
        </w:rPr>
        <w:t xml:space="preserve"> </w:t>
      </w:r>
      <w:r>
        <w:rPr>
          <w:rFonts w:hint="eastAsia" w:ascii="黑体" w:hAnsi="黑体" w:eastAsia="黑体" w:cs="黑体"/>
          <w:bCs/>
          <w:sz w:val="32"/>
          <w:szCs w:val="32"/>
        </w:rPr>
        <w:t>九、政府性基金预算财政拨款“三公”经费支出决算情况说明</w:t>
      </w:r>
      <w:r>
        <w:rPr>
          <w:rFonts w:hint="eastAsia" w:ascii="黑体" w:hAnsi="黑体" w:eastAsia="黑体" w:cs="黑体"/>
          <w:bCs/>
          <w:sz w:val="32"/>
          <w:szCs w:val="32"/>
          <w:lang w:val="en-US" w:eastAsia="zh-CN"/>
        </w:rPr>
        <w:t>(</w:t>
      </w:r>
      <w:r>
        <w:rPr>
          <w:rFonts w:hint="eastAsia" w:ascii="仿宋" w:hAnsi="仿宋" w:eastAsia="仿宋" w:cs="仿宋"/>
          <w:bCs/>
          <w:sz w:val="32"/>
          <w:szCs w:val="32"/>
          <w:lang w:val="en-US" w:eastAsia="zh-CN"/>
        </w:rPr>
        <w:t>2018年决算无此项支出）</w:t>
      </w:r>
    </w:p>
    <w:p>
      <w:pPr>
        <w:shd w:val="clear" w:color="auto" w:fill="FFFFFF"/>
        <w:spacing w:before="100" w:beforeAutospacing="1" w:after="100" w:afterAutospacing="1"/>
        <w:ind w:firstLine="640" w:firstLineChars="200"/>
        <w:rPr>
          <w:rFonts w:hint="eastAsia" w:ascii="仿宋_GB2312" w:hAnsi="ˎ̥" w:eastAsia="宋体"/>
          <w:sz w:val="32"/>
          <w:szCs w:val="32"/>
          <w:lang w:val="en-US" w:eastAsia="zh-CN"/>
        </w:rPr>
      </w:pPr>
      <w:r>
        <w:rPr>
          <w:rFonts w:ascii="仿宋_GB2312" w:hAnsi="ˎ̥"/>
          <w:sz w:val="32"/>
          <w:szCs w:val="32"/>
        </w:rPr>
        <w:t>2018年度政府性基金预算财政拨款“三公”经费支出合计</w:t>
      </w:r>
      <w:r>
        <w:rPr>
          <w:rFonts w:hint="eastAsia" w:ascii="仿宋_GB2312" w:hAnsi="ˎ̥"/>
          <w:sz w:val="32"/>
          <w:szCs w:val="32"/>
          <w:lang w:val="en-US" w:eastAsia="zh-CN"/>
        </w:rPr>
        <w:t>0</w:t>
      </w:r>
      <w:r>
        <w:rPr>
          <w:rFonts w:ascii="仿宋_GB2312" w:hAnsi="ˎ̥"/>
          <w:sz w:val="32"/>
          <w:szCs w:val="32"/>
        </w:rPr>
        <w:t>万元。其中：因公出国（境）费支出0.00万元，占</w:t>
      </w:r>
      <w:r>
        <w:rPr>
          <w:rFonts w:hint="eastAsia" w:ascii="仿宋_GB2312" w:hAnsi="ˎ̥"/>
          <w:sz w:val="32"/>
          <w:szCs w:val="32"/>
          <w:lang w:val="en-US" w:eastAsia="zh-CN"/>
        </w:rPr>
        <w:t>0</w:t>
      </w:r>
      <w:r>
        <w:rPr>
          <w:rFonts w:ascii="仿宋_GB2312" w:hAnsi="ˎ̥"/>
          <w:sz w:val="32"/>
          <w:szCs w:val="32"/>
        </w:rPr>
        <w:t>%；公务用车购置费0万元，占</w:t>
      </w:r>
      <w:r>
        <w:rPr>
          <w:rFonts w:hint="eastAsia" w:ascii="仿宋_GB2312" w:hAnsi="ˎ̥"/>
          <w:sz w:val="32"/>
          <w:szCs w:val="32"/>
          <w:lang w:val="en-US" w:eastAsia="zh-CN"/>
        </w:rPr>
        <w:t>0</w:t>
      </w:r>
      <w:r>
        <w:rPr>
          <w:rFonts w:ascii="仿宋_GB2312" w:hAnsi="ˎ̥"/>
          <w:sz w:val="32"/>
          <w:szCs w:val="32"/>
        </w:rPr>
        <w:t>%；公务用车运行维护费支出0万元，占</w:t>
      </w:r>
      <w:r>
        <w:rPr>
          <w:rFonts w:hint="eastAsia" w:ascii="仿宋_GB2312" w:hAnsi="ˎ̥"/>
          <w:sz w:val="32"/>
          <w:szCs w:val="32"/>
          <w:lang w:val="en-US" w:eastAsia="zh-CN"/>
        </w:rPr>
        <w:t>0</w:t>
      </w:r>
      <w:r>
        <w:rPr>
          <w:rFonts w:ascii="仿宋_GB2312" w:hAnsi="ˎ̥"/>
          <w:sz w:val="32"/>
          <w:szCs w:val="32"/>
        </w:rPr>
        <w:t>%；公务接待费支出0万元，占</w:t>
      </w:r>
      <w:r>
        <w:rPr>
          <w:rFonts w:hint="eastAsia" w:ascii="仿宋_GB2312" w:hAnsi="ˎ̥"/>
          <w:sz w:val="32"/>
          <w:szCs w:val="32"/>
          <w:lang w:val="en-US" w:eastAsia="zh-CN"/>
        </w:rPr>
        <w:t>0</w:t>
      </w:r>
      <w:r>
        <w:rPr>
          <w:rFonts w:ascii="仿宋_GB2312" w:hAnsi="ˎ̥"/>
          <w:sz w:val="32"/>
          <w:szCs w:val="32"/>
        </w:rPr>
        <w:t>%。</w:t>
      </w:r>
      <w:r>
        <w:rPr>
          <w:rFonts w:hint="eastAsia" w:ascii="仿宋_GB2312" w:hAnsi="ˎ̥"/>
          <w:sz w:val="32"/>
          <w:szCs w:val="32"/>
          <w:lang w:eastAsia="zh-CN"/>
        </w:rPr>
        <w:t>（无此项经费）</w:t>
      </w:r>
    </w:p>
    <w:p>
      <w:pPr>
        <w:shd w:val="clear" w:color="auto" w:fill="FFFFFF"/>
        <w:spacing w:before="100" w:beforeAutospacing="1" w:after="100" w:afterAutospacing="1"/>
        <w:ind w:firstLine="640" w:firstLineChars="200"/>
        <w:rPr>
          <w:rFonts w:ascii="仿宋_GB2312" w:hAnsi="ˎ̥"/>
          <w:sz w:val="32"/>
          <w:szCs w:val="32"/>
        </w:rPr>
      </w:pPr>
      <w:r>
        <w:rPr>
          <w:rFonts w:ascii="仿宋_GB2312" w:hAnsi="ˎ̥"/>
          <w:sz w:val="32"/>
          <w:szCs w:val="32"/>
        </w:rPr>
        <w:t>（取自财决10表《政府性基金预算财政拨款支出明细表》）</w:t>
      </w:r>
    </w:p>
    <w:p>
      <w:pPr>
        <w:shd w:val="clear" w:color="auto" w:fill="FFFFFF"/>
        <w:spacing w:before="100" w:beforeAutospacing="1" w:after="100" w:afterAutospacing="1"/>
        <w:ind w:firstLine="640" w:firstLineChars="200"/>
        <w:rPr>
          <w:rFonts w:ascii="黑体" w:hAnsi="黑体" w:eastAsia="黑体" w:cs="黑体"/>
          <w:bCs/>
          <w:sz w:val="32"/>
          <w:szCs w:val="32"/>
        </w:rPr>
      </w:pPr>
      <w:r>
        <w:rPr>
          <w:rFonts w:hint="eastAsia" w:ascii="黑体" w:hAnsi="黑体" w:eastAsia="黑体" w:cs="黑体"/>
          <w:bCs/>
          <w:sz w:val="32"/>
          <w:szCs w:val="32"/>
        </w:rPr>
        <w:t>十、资产负债决算情况说明</w:t>
      </w:r>
    </w:p>
    <w:p>
      <w:pPr>
        <w:shd w:val="clear" w:color="auto" w:fill="FFFFFF"/>
        <w:spacing w:before="100" w:beforeAutospacing="1" w:after="100" w:afterAutospacing="1"/>
        <w:ind w:firstLine="640" w:firstLineChars="200"/>
        <w:rPr>
          <w:rFonts w:ascii="仿宋_GB2312" w:hAnsi="ˎ̥"/>
          <w:sz w:val="32"/>
          <w:szCs w:val="32"/>
        </w:rPr>
      </w:pPr>
      <w:r>
        <w:rPr>
          <w:rFonts w:ascii="仿宋_GB2312" w:hAnsi="ˎ̥"/>
          <w:sz w:val="32"/>
          <w:szCs w:val="32"/>
        </w:rPr>
        <w:t>2018年度末部门资产总计6,253.18万元，负债总计98.66万元，净资产总计6,154.51万元，国有资产总量6,154.51万元。</w:t>
      </w:r>
    </w:p>
    <w:p>
      <w:pPr>
        <w:shd w:val="clear" w:color="auto" w:fill="FFFFFF"/>
        <w:spacing w:before="100" w:beforeAutospacing="1" w:after="100" w:afterAutospacing="1"/>
        <w:ind w:firstLine="640" w:firstLineChars="200"/>
        <w:rPr>
          <w:rFonts w:ascii="仿宋_GB2312" w:hAnsi="ˎ̥"/>
          <w:sz w:val="32"/>
          <w:szCs w:val="32"/>
        </w:rPr>
      </w:pPr>
      <w:r>
        <w:rPr>
          <w:rFonts w:ascii="仿宋_GB2312" w:hAnsi="ˎ̥"/>
          <w:sz w:val="32"/>
          <w:szCs w:val="32"/>
        </w:rPr>
        <w:t>（取自财决12表《资产负债简表》）</w:t>
      </w:r>
    </w:p>
    <w:p>
      <w:pPr>
        <w:shd w:val="clear" w:color="auto" w:fill="FFFFFF"/>
        <w:spacing w:before="100" w:beforeAutospacing="1" w:after="100" w:afterAutospacing="1"/>
        <w:ind w:firstLine="640" w:firstLineChars="200"/>
        <w:rPr>
          <w:rFonts w:ascii="黑体" w:hAnsi="黑体" w:eastAsia="黑体" w:cs="黑体"/>
          <w:bCs/>
          <w:sz w:val="32"/>
          <w:szCs w:val="32"/>
        </w:rPr>
      </w:pPr>
      <w:r>
        <w:rPr>
          <w:rFonts w:hint="eastAsia" w:ascii="黑体" w:hAnsi="黑体" w:eastAsia="黑体" w:cs="黑体"/>
          <w:bCs/>
          <w:sz w:val="32"/>
          <w:szCs w:val="32"/>
        </w:rPr>
        <w:t>十一、预算绩效情况说明。</w:t>
      </w:r>
    </w:p>
    <w:p>
      <w:pPr>
        <w:shd w:val="clear" w:color="auto" w:fill="FFFFFF"/>
        <w:spacing w:before="100" w:beforeAutospacing="1" w:after="100" w:afterAutospacing="1" w:line="578" w:lineRule="exact"/>
        <w:ind w:firstLine="643" w:firstLineChars="200"/>
        <w:rPr>
          <w:rFonts w:ascii="楷体" w:hAnsi="楷体" w:eastAsia="楷体" w:cs="楷体"/>
          <w:b/>
          <w:sz w:val="32"/>
          <w:szCs w:val="32"/>
        </w:rPr>
      </w:pPr>
      <w:r>
        <w:rPr>
          <w:rFonts w:hint="eastAsia" w:ascii="楷体" w:hAnsi="楷体" w:eastAsia="楷体" w:cs="楷体"/>
          <w:b/>
          <w:sz w:val="32"/>
          <w:szCs w:val="32"/>
        </w:rPr>
        <w:t>（一）绩效管理工作开展情况。</w:t>
      </w:r>
    </w:p>
    <w:p>
      <w:pPr>
        <w:shd w:val="clear" w:color="auto" w:fill="FFFFFF"/>
        <w:spacing w:before="100" w:beforeAutospacing="1" w:after="100" w:afterAutospacing="1" w:line="578" w:lineRule="exact"/>
        <w:ind w:firstLine="640" w:firstLineChars="200"/>
        <w:rPr>
          <w:rFonts w:ascii="仿宋_GB2312" w:hAnsi="仿宋_GB2312"/>
          <w:sz w:val="32"/>
          <w:szCs w:val="32"/>
        </w:rPr>
      </w:pPr>
      <w:r>
        <w:rPr>
          <w:rFonts w:ascii="仿宋_GB2312" w:hAnsi="仿宋_GB2312"/>
          <w:sz w:val="32"/>
          <w:szCs w:val="32"/>
        </w:rPr>
        <w:t>根据财政预算管理要求，</w:t>
      </w:r>
      <w:r>
        <w:rPr>
          <w:rFonts w:hint="eastAsia" w:ascii="仿宋_GB2312" w:hAnsi="仿宋_GB2312"/>
          <w:sz w:val="32"/>
          <w:szCs w:val="32"/>
        </w:rPr>
        <w:t>海口市政府服务中心</w:t>
      </w:r>
      <w:r>
        <w:rPr>
          <w:rFonts w:ascii="仿宋_GB2312" w:hAnsi="仿宋_GB2312"/>
          <w:sz w:val="32"/>
          <w:szCs w:val="32"/>
        </w:rPr>
        <w:t>部门（单位）组织对2018年度一般公共预算项目支出开展了绩效自评。自评项目</w:t>
      </w:r>
      <w:r>
        <w:rPr>
          <w:rFonts w:hint="eastAsia" w:ascii="仿宋_GB2312" w:hAnsi="仿宋_GB2312"/>
          <w:sz w:val="32"/>
          <w:szCs w:val="32"/>
        </w:rPr>
        <w:t>2</w:t>
      </w:r>
      <w:r>
        <w:rPr>
          <w:rFonts w:ascii="仿宋_GB2312" w:hAnsi="仿宋_GB2312"/>
          <w:sz w:val="32"/>
          <w:szCs w:val="32"/>
        </w:rPr>
        <w:t>个，共涉及资金</w:t>
      </w:r>
      <w:r>
        <w:rPr>
          <w:rFonts w:hint="eastAsia" w:ascii="仿宋_GB2312" w:hAnsi="仿宋_GB2312"/>
          <w:sz w:val="32"/>
          <w:szCs w:val="32"/>
        </w:rPr>
        <w:t>798.2</w:t>
      </w:r>
      <w:r>
        <w:rPr>
          <w:rFonts w:ascii="仿宋_GB2312" w:hAnsi="仿宋_GB2312"/>
          <w:sz w:val="32"/>
          <w:szCs w:val="32"/>
        </w:rPr>
        <w:t>万元，自评覆盖率达到</w:t>
      </w:r>
      <w:r>
        <w:rPr>
          <w:rFonts w:hint="eastAsia" w:ascii="仿宋_GB2312" w:hAnsi="仿宋_GB2312"/>
          <w:sz w:val="32"/>
          <w:szCs w:val="32"/>
        </w:rPr>
        <w:t>100</w:t>
      </w:r>
      <w:r>
        <w:rPr>
          <w:rFonts w:ascii="仿宋_GB2312" w:hAnsi="仿宋_GB2312"/>
          <w:sz w:val="32"/>
          <w:szCs w:val="32"/>
        </w:rPr>
        <w:t>%。</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海口市政府服务中心部门（单位）共组织对“行政审批制度改革” 、“公共资源交易组织实施”等2个项目进行了重点绩效评价，涉及资金798.2万元。从评价情况来看，行政审批制度改革项目</w:t>
      </w:r>
      <w:r>
        <w:rPr>
          <w:rFonts w:hint="eastAsia" w:ascii="仿宋" w:hAnsi="仿宋" w:eastAsia="仿宋" w:cs="仿宋"/>
          <w:sz w:val="32"/>
          <w:szCs w:val="32"/>
          <w:lang w:val="en-US" w:eastAsia="zh-CN"/>
        </w:rPr>
        <w:t>5</w:t>
      </w:r>
      <w:r>
        <w:rPr>
          <w:rFonts w:hint="eastAsia" w:ascii="仿宋" w:hAnsi="仿宋" w:eastAsia="仿宋" w:cs="仿宋"/>
          <w:sz w:val="32"/>
          <w:szCs w:val="32"/>
        </w:rPr>
        <w:t>18万元（由以下7项构成）项目资金</w:t>
      </w:r>
      <w:r>
        <w:rPr>
          <w:rFonts w:hint="eastAsia" w:ascii="仿宋" w:hAnsi="仿宋" w:eastAsia="仿宋" w:cs="仿宋"/>
          <w:sz w:val="32"/>
          <w:szCs w:val="32"/>
          <w:lang w:val="en-US" w:eastAsia="zh-CN"/>
        </w:rPr>
        <w:t>5</w:t>
      </w:r>
      <w:r>
        <w:rPr>
          <w:rFonts w:hint="eastAsia" w:ascii="仿宋" w:hAnsi="仿宋" w:eastAsia="仿宋" w:cs="仿宋"/>
          <w:sz w:val="32"/>
          <w:szCs w:val="32"/>
        </w:rPr>
        <w:t>18万元使用情况正常。其中物业管理费</w:t>
      </w:r>
      <w:r>
        <w:rPr>
          <w:rFonts w:hint="eastAsia" w:ascii="仿宋" w:hAnsi="仿宋" w:eastAsia="仿宋" w:cs="仿宋"/>
          <w:sz w:val="32"/>
          <w:szCs w:val="32"/>
          <w:lang w:val="en-US" w:eastAsia="zh-CN"/>
        </w:rPr>
        <w:t>90.5</w:t>
      </w:r>
      <w:r>
        <w:rPr>
          <w:rFonts w:hint="eastAsia" w:ascii="仿宋" w:hAnsi="仿宋" w:eastAsia="仿宋" w:cs="仿宋"/>
          <w:sz w:val="32"/>
          <w:szCs w:val="32"/>
        </w:rPr>
        <w:t>万元每月支付保安和保洁服务费；维修费</w:t>
      </w:r>
      <w:r>
        <w:rPr>
          <w:rFonts w:hint="eastAsia" w:ascii="仿宋" w:hAnsi="仿宋" w:eastAsia="仿宋" w:cs="仿宋"/>
          <w:sz w:val="32"/>
          <w:szCs w:val="32"/>
          <w:lang w:val="en-US" w:eastAsia="zh-CN"/>
        </w:rPr>
        <w:t>6</w:t>
      </w:r>
      <w:r>
        <w:rPr>
          <w:rFonts w:hint="eastAsia" w:ascii="仿宋" w:hAnsi="仿宋" w:eastAsia="仿宋" w:cs="仿宋"/>
          <w:sz w:val="32"/>
          <w:szCs w:val="32"/>
        </w:rPr>
        <w:t>0万元；</w:t>
      </w:r>
      <w:r>
        <w:rPr>
          <w:rFonts w:hint="eastAsia" w:ascii="仿宋" w:hAnsi="仿宋" w:eastAsia="仿宋" w:cs="仿宋"/>
          <w:sz w:val="32"/>
          <w:szCs w:val="32"/>
          <w:lang w:val="en-US" w:eastAsia="zh-CN"/>
        </w:rPr>
        <w:t>131.5</w:t>
      </w:r>
      <w:r>
        <w:rPr>
          <w:rFonts w:hint="eastAsia" w:ascii="仿宋" w:hAnsi="仿宋" w:eastAsia="仿宋" w:cs="仿宋"/>
          <w:sz w:val="32"/>
          <w:szCs w:val="32"/>
        </w:rPr>
        <w:t>万元其他商品和服务支出；</w:t>
      </w:r>
      <w:r>
        <w:rPr>
          <w:rFonts w:hint="eastAsia" w:ascii="仿宋" w:hAnsi="仿宋" w:eastAsia="仿宋" w:cs="仿宋"/>
          <w:sz w:val="32"/>
          <w:szCs w:val="32"/>
          <w:lang w:val="en-US" w:eastAsia="zh-CN"/>
        </w:rPr>
        <w:t>3</w:t>
      </w:r>
      <w:r>
        <w:rPr>
          <w:rFonts w:hint="eastAsia" w:ascii="仿宋" w:hAnsi="仿宋" w:eastAsia="仿宋" w:cs="仿宋"/>
          <w:sz w:val="32"/>
          <w:szCs w:val="32"/>
        </w:rPr>
        <w:t>0万元办公设备购置；</w:t>
      </w:r>
      <w:r>
        <w:rPr>
          <w:rFonts w:hint="eastAsia" w:ascii="仿宋" w:hAnsi="仿宋" w:eastAsia="仿宋" w:cs="仿宋"/>
          <w:sz w:val="32"/>
          <w:szCs w:val="32"/>
          <w:lang w:val="en-US" w:eastAsia="zh-CN"/>
        </w:rPr>
        <w:t>162</w:t>
      </w:r>
      <w:r>
        <w:rPr>
          <w:rFonts w:hint="eastAsia" w:ascii="仿宋" w:hAnsi="仿宋" w:eastAsia="仿宋" w:cs="仿宋"/>
          <w:sz w:val="32"/>
          <w:szCs w:val="32"/>
        </w:rPr>
        <w:t>万元招聘人员劳务费和</w:t>
      </w:r>
      <w:r>
        <w:rPr>
          <w:rFonts w:hint="eastAsia" w:ascii="仿宋" w:hAnsi="仿宋" w:eastAsia="仿宋" w:cs="仿宋"/>
          <w:sz w:val="32"/>
          <w:szCs w:val="32"/>
          <w:lang w:val="en-US" w:eastAsia="zh-CN"/>
        </w:rPr>
        <w:t>44</w:t>
      </w:r>
      <w:r>
        <w:rPr>
          <w:rFonts w:hint="eastAsia" w:ascii="仿宋" w:hAnsi="仿宋" w:eastAsia="仿宋" w:cs="仿宋"/>
          <w:sz w:val="32"/>
          <w:szCs w:val="32"/>
        </w:rPr>
        <w:t>万元审批办进驻经费。</w:t>
      </w:r>
      <w:r>
        <w:rPr>
          <w:rFonts w:hint="eastAsia" w:ascii="仿宋_GB2312" w:hAnsi="仿宋_GB2312" w:eastAsia="仿宋_GB2312" w:cs="仿宋_GB2312"/>
          <w:sz w:val="32"/>
          <w:szCs w:val="32"/>
          <w:u w:val="none"/>
        </w:rPr>
        <w:t>公共资源交易组织实施</w:t>
      </w:r>
      <w:r>
        <w:rPr>
          <w:rFonts w:hint="eastAsia" w:ascii="仿宋_GB2312" w:hAnsi="仿宋_GB2312" w:eastAsia="仿宋_GB2312" w:cs="仿宋_GB2312"/>
          <w:sz w:val="32"/>
          <w:szCs w:val="32"/>
          <w:u w:val="none"/>
          <w:lang w:eastAsia="zh-CN"/>
        </w:rPr>
        <w:t>项目</w:t>
      </w:r>
      <w:r>
        <w:rPr>
          <w:rFonts w:hint="eastAsia" w:ascii="仿宋_GB2312" w:hAnsi="仿宋_GB2312" w:eastAsia="仿宋_GB2312" w:cs="仿宋_GB2312"/>
          <w:color w:val="000000"/>
          <w:sz w:val="32"/>
          <w:szCs w:val="32"/>
          <w:lang w:val="en-US" w:eastAsia="zh-CN"/>
        </w:rPr>
        <w:t>预算为280.2万元，按支出经济分类控制为：公务接待2万元、劳务费77.6万元、</w:t>
      </w:r>
      <w:r>
        <w:rPr>
          <w:rFonts w:hint="eastAsia" w:ascii="仿宋_GB2312" w:hAnsi="仿宋_GB2312" w:eastAsia="仿宋_GB2312" w:cs="仿宋_GB2312"/>
          <w:color w:val="000000"/>
          <w:sz w:val="32"/>
          <w:szCs w:val="32"/>
          <w:lang w:eastAsia="zh-CN"/>
        </w:rPr>
        <w:t>办公费</w:t>
      </w:r>
      <w:r>
        <w:rPr>
          <w:rFonts w:hint="eastAsia" w:ascii="仿宋_GB2312" w:hAnsi="仿宋_GB2312" w:eastAsia="仿宋_GB2312" w:cs="仿宋_GB2312"/>
          <w:color w:val="000000"/>
          <w:sz w:val="32"/>
          <w:szCs w:val="32"/>
          <w:lang w:val="en-US" w:eastAsia="zh-CN"/>
        </w:rPr>
        <w:t>7.2万元</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长期聘用人员工资</w:t>
      </w:r>
      <w:r>
        <w:rPr>
          <w:rFonts w:hint="eastAsia" w:ascii="仿宋_GB2312" w:hAnsi="仿宋_GB2312" w:eastAsia="仿宋_GB2312" w:cs="仿宋_GB2312"/>
          <w:color w:val="000000"/>
          <w:sz w:val="32"/>
          <w:szCs w:val="32"/>
          <w:lang w:val="en-US" w:eastAsia="zh-CN"/>
        </w:rPr>
        <w:t>78.4万元、</w:t>
      </w:r>
      <w:r>
        <w:rPr>
          <w:rFonts w:hint="eastAsia" w:ascii="仿宋_GB2312" w:hAnsi="仿宋_GB2312" w:eastAsia="仿宋_GB2312" w:cs="仿宋_GB2312"/>
          <w:color w:val="000000"/>
          <w:sz w:val="32"/>
          <w:szCs w:val="32"/>
          <w:lang w:eastAsia="zh-CN"/>
        </w:rPr>
        <w:t>差旅费</w:t>
      </w:r>
      <w:r>
        <w:rPr>
          <w:rFonts w:hint="eastAsia" w:ascii="仿宋_GB2312" w:hAnsi="仿宋_GB2312" w:eastAsia="仿宋_GB2312" w:cs="仿宋_GB2312"/>
          <w:color w:val="000000"/>
          <w:sz w:val="32"/>
          <w:szCs w:val="32"/>
          <w:lang w:val="en-US" w:eastAsia="zh-CN"/>
        </w:rPr>
        <w:t>10万元</w:t>
      </w:r>
      <w:r>
        <w:rPr>
          <w:rFonts w:hint="eastAsia" w:ascii="仿宋_GB2312" w:hAnsi="仿宋_GB2312" w:eastAsia="仿宋_GB2312" w:cs="仿宋_GB2312"/>
          <w:color w:val="000000"/>
          <w:sz w:val="32"/>
          <w:szCs w:val="32"/>
          <w:lang w:eastAsia="zh-CN"/>
        </w:rPr>
        <w:t>、培训费</w:t>
      </w:r>
      <w:r>
        <w:rPr>
          <w:rFonts w:hint="eastAsia" w:ascii="仿宋_GB2312" w:hAnsi="仿宋_GB2312" w:eastAsia="仿宋_GB2312" w:cs="仿宋_GB2312"/>
          <w:color w:val="000000"/>
          <w:sz w:val="32"/>
          <w:szCs w:val="32"/>
          <w:lang w:val="en-US" w:eastAsia="zh-CN"/>
        </w:rPr>
        <w:t>3万元、</w:t>
      </w:r>
      <w:r>
        <w:rPr>
          <w:rFonts w:hint="eastAsia" w:ascii="仿宋_GB2312" w:hAnsi="仿宋_GB2312" w:eastAsia="仿宋_GB2312" w:cs="仿宋_GB2312"/>
          <w:color w:val="000000"/>
          <w:sz w:val="32"/>
          <w:szCs w:val="32"/>
          <w:lang w:eastAsia="zh-CN"/>
        </w:rPr>
        <w:t>维修费</w:t>
      </w:r>
      <w:r>
        <w:rPr>
          <w:rFonts w:hint="eastAsia" w:ascii="仿宋_GB2312" w:hAnsi="仿宋_GB2312" w:eastAsia="仿宋_GB2312" w:cs="仿宋_GB2312"/>
          <w:color w:val="000000"/>
          <w:sz w:val="32"/>
          <w:szCs w:val="32"/>
          <w:lang w:val="en-US" w:eastAsia="zh-CN"/>
        </w:rPr>
        <w:t>12万元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办公设备购置</w:t>
      </w:r>
      <w:r>
        <w:rPr>
          <w:rFonts w:hint="eastAsia" w:ascii="仿宋_GB2312" w:hAnsi="仿宋_GB2312" w:eastAsia="仿宋_GB2312" w:cs="仿宋_GB2312"/>
          <w:color w:val="000000"/>
          <w:sz w:val="32"/>
          <w:szCs w:val="32"/>
          <w:lang w:val="en-US" w:eastAsia="zh-CN"/>
        </w:rPr>
        <w:t>25万元</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信息网络及软件购置更新</w:t>
      </w:r>
      <w:r>
        <w:rPr>
          <w:rFonts w:hint="eastAsia" w:ascii="仿宋_GB2312" w:hAnsi="仿宋_GB2312" w:eastAsia="仿宋_GB2312" w:cs="仿宋_GB2312"/>
          <w:color w:val="000000"/>
          <w:sz w:val="32"/>
          <w:szCs w:val="32"/>
          <w:lang w:val="en-US" w:eastAsia="zh-CN"/>
        </w:rPr>
        <w:t>30万元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auto"/>
          <w:sz w:val="32"/>
          <w:szCs w:val="32"/>
          <w:u w:val="none"/>
          <w:lang w:val="en-US" w:eastAsia="zh-CN"/>
        </w:rPr>
        <w:t>其他支出35万元，</w:t>
      </w:r>
      <w:r>
        <w:rPr>
          <w:rFonts w:hint="eastAsia" w:ascii="仿宋_GB2312" w:hAnsi="仿宋_GB2312" w:eastAsia="仿宋_GB2312" w:cs="仿宋_GB2312"/>
          <w:sz w:val="32"/>
          <w:szCs w:val="32"/>
          <w:u w:val="none"/>
          <w:lang w:val="en-US" w:eastAsia="zh-CN"/>
        </w:rPr>
        <w:t>该项目未超出成本预算</w:t>
      </w:r>
      <w:r>
        <w:rPr>
          <w:rFonts w:hint="eastAsia" w:ascii="仿宋_GB2312" w:hAnsi="仿宋_GB2312" w:eastAsia="仿宋_GB2312" w:cs="仿宋_GB2312"/>
          <w:color w:val="auto"/>
          <w:sz w:val="32"/>
          <w:szCs w:val="32"/>
          <w:u w:val="none"/>
          <w:lang w:val="en-US" w:eastAsia="zh-CN"/>
        </w:rPr>
        <w:t>。</w:t>
      </w:r>
      <w:r>
        <w:rPr>
          <w:rFonts w:hint="eastAsia" w:ascii="仿宋" w:hAnsi="仿宋" w:eastAsia="仿宋" w:cs="仿宋"/>
          <w:sz w:val="32"/>
          <w:szCs w:val="32"/>
        </w:rPr>
        <w:t>每月按进度和计划支付。</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项目活动：保安、保洁人员工资；安保及保洁用品费；固定资产维修费；固定资产更换；招聘人员工资及福利费；中心及窗口派驻人员中餐费；审批办进驻需购置固定资产；劳务费等。按每月计划完成。</w:t>
      </w:r>
    </w:p>
    <w:p>
      <w:pPr>
        <w:spacing w:line="578"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项目实施对经济和社会的影响为群众办事年办件量达13.64万件，完成省市审批制度改革任务，群众满意度达99.53%。</w:t>
      </w:r>
    </w:p>
    <w:p>
      <w:pPr>
        <w:spacing w:line="578" w:lineRule="exact"/>
        <w:ind w:firstLine="640" w:firstLineChars="200"/>
        <w:outlineLvl w:val="0"/>
        <w:rPr>
          <w:rFonts w:ascii="仿宋_GB2312" w:hAnsi="仿宋_GB2312"/>
          <w:sz w:val="32"/>
          <w:szCs w:val="32"/>
        </w:rPr>
      </w:pPr>
      <w:r>
        <w:rPr>
          <w:rFonts w:ascii="仿宋_GB2312" w:hAnsi="仿宋_GB2312"/>
          <w:sz w:val="32"/>
          <w:szCs w:val="32"/>
        </w:rPr>
        <w:t>（请对预算绩效评价情况进行简单说明）。</w:t>
      </w:r>
    </w:p>
    <w:p>
      <w:pPr>
        <w:shd w:val="clear" w:color="auto" w:fill="FFFFFF"/>
        <w:spacing w:before="100" w:beforeAutospacing="1" w:after="100" w:afterAutospacing="1" w:line="578" w:lineRule="exact"/>
        <w:ind w:firstLine="640" w:firstLineChars="200"/>
        <w:rPr>
          <w:rFonts w:ascii="楷体" w:hAnsi="楷体" w:eastAsia="楷体" w:cs="楷体"/>
          <w:b/>
          <w:sz w:val="32"/>
          <w:szCs w:val="32"/>
        </w:rPr>
      </w:pPr>
      <w:r>
        <w:rPr>
          <w:rFonts w:hint="eastAsia" w:ascii="仿宋_GB2312" w:hAnsi="仿宋_GB2312" w:eastAsia="楷体"/>
          <w:sz w:val="32"/>
          <w:szCs w:val="32"/>
          <w:lang w:val="en-US" w:eastAsia="zh-CN"/>
        </w:rPr>
        <w:t xml:space="preserve"> </w:t>
      </w:r>
      <w:r>
        <w:rPr>
          <w:rFonts w:hint="eastAsia" w:ascii="楷体" w:hAnsi="楷体" w:eastAsia="楷体" w:cs="楷体"/>
          <w:b/>
          <w:sz w:val="32"/>
          <w:szCs w:val="32"/>
        </w:rPr>
        <w:t>（二）部门决算中项目绩效自评结果。</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行政审批制度改革项目自评得分为97分。发现的主要问题及原因：一是产出的质量未达标；二是社会效益和服务对象的满意度未达标。下一步改进措施：一是产出质量达标；二是服务对象的满意度做到100%，社会效益达到最高分。 </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在公开项目绩效自评结果的同时，需公开《项目支出绩效自评表》。</w:t>
      </w:r>
    </w:p>
    <w:p>
      <w:pPr>
        <w:shd w:val="clear" w:color="auto" w:fill="FFFFFF"/>
        <w:spacing w:before="100" w:beforeAutospacing="1" w:after="100" w:afterAutospacing="1" w:line="578" w:lineRule="exact"/>
        <w:ind w:firstLine="640" w:firstLineChars="200"/>
        <w:rPr>
          <w:rFonts w:hint="eastAsia" w:ascii="仿宋_GB2312" w:hAnsi="仿宋_GB2312" w:eastAsia="宋体"/>
          <w:sz w:val="32"/>
          <w:szCs w:val="32"/>
          <w:lang w:eastAsia="zh-CN"/>
        </w:rPr>
      </w:pPr>
      <w:r>
        <w:rPr>
          <w:rFonts w:hint="eastAsia" w:ascii="仿宋_GB2312" w:hAnsi="仿宋_GB2312"/>
          <w:sz w:val="32"/>
          <w:szCs w:val="32"/>
          <w:lang w:val="en-US" w:eastAsia="zh-CN"/>
        </w:rPr>
        <w:t xml:space="preserve"> </w:t>
      </w:r>
      <w:r>
        <w:rPr>
          <w:rFonts w:hint="eastAsia" w:ascii="仿宋_GB2312" w:hAnsi="仿宋_GB2312"/>
          <w:sz w:val="32"/>
          <w:szCs w:val="32"/>
        </w:rPr>
        <w:t>公共资源交易组织实施</w:t>
      </w:r>
      <w:r>
        <w:rPr>
          <w:rFonts w:ascii="仿宋_GB2312" w:hAnsi="仿宋_GB2312"/>
          <w:sz w:val="32"/>
          <w:szCs w:val="32"/>
        </w:rPr>
        <w:t>项目自评得分为</w:t>
      </w:r>
      <w:r>
        <w:rPr>
          <w:rFonts w:hint="eastAsia" w:ascii="仿宋_GB2312" w:hAnsi="仿宋_GB2312"/>
          <w:sz w:val="32"/>
          <w:szCs w:val="32"/>
        </w:rPr>
        <w:t>90</w:t>
      </w:r>
      <w:r>
        <w:rPr>
          <w:rFonts w:ascii="仿宋_GB2312" w:hAnsi="仿宋_GB2312"/>
          <w:sz w:val="32"/>
          <w:szCs w:val="32"/>
        </w:rPr>
        <w:t>分。发现的主要问题及原因：</w:t>
      </w:r>
      <w:r>
        <w:rPr>
          <w:rFonts w:hint="eastAsia" w:ascii="仿宋_GB2312" w:hAnsi="仿宋_GB2312" w:eastAsia="仿宋_GB2312" w:cs="仿宋_GB2312"/>
          <w:bCs/>
          <w:sz w:val="32"/>
          <w:szCs w:val="32"/>
        </w:rPr>
        <w:t>中</w:t>
      </w:r>
      <w:r>
        <w:rPr>
          <w:rFonts w:hint="eastAsia" w:ascii="仿宋_GB2312" w:hAnsi="仿宋_GB2312"/>
          <w:sz w:val="32"/>
          <w:szCs w:val="32"/>
        </w:rPr>
        <w:t>心法人一直未到位，年前做的预算部分无法开展</w:t>
      </w:r>
      <w:r>
        <w:rPr>
          <w:rFonts w:ascii="仿宋_GB2312" w:hAnsi="仿宋_GB2312"/>
          <w:sz w:val="32"/>
          <w:szCs w:val="32"/>
        </w:rPr>
        <w:t>。下一步改进措施：一是</w:t>
      </w:r>
      <w:r>
        <w:rPr>
          <w:rFonts w:hint="eastAsia" w:ascii="仿宋_GB2312" w:hAnsi="仿宋_GB2312"/>
          <w:sz w:val="32"/>
          <w:szCs w:val="32"/>
          <w:lang w:eastAsia="zh-CN"/>
        </w:rPr>
        <w:t>积极向主管局请示开展预算支付。</w:t>
      </w:r>
    </w:p>
    <w:p>
      <w:pPr>
        <w:shd w:val="clear" w:color="auto" w:fill="FFFFFF"/>
        <w:spacing w:before="100" w:beforeAutospacing="1" w:after="100" w:afterAutospacing="1" w:line="578" w:lineRule="exact"/>
        <w:ind w:firstLine="640" w:firstLineChars="200"/>
        <w:rPr>
          <w:rFonts w:ascii="仿宋_GB2312" w:hAnsi="仿宋_GB2312"/>
          <w:sz w:val="32"/>
          <w:szCs w:val="32"/>
        </w:rPr>
      </w:pPr>
      <w:r>
        <w:rPr>
          <w:rFonts w:ascii="仿宋_GB2312" w:hAnsi="仿宋_GB2312"/>
          <w:sz w:val="32"/>
          <w:szCs w:val="32"/>
        </w:rPr>
        <w:t>在公开项目绩效自评结果的同时，需公开《项目支出绩效自评表》。</w:t>
      </w:r>
    </w:p>
    <w:p>
      <w:pPr>
        <w:shd w:val="clear" w:color="auto" w:fill="FFFFFF"/>
        <w:spacing w:before="100" w:beforeAutospacing="1" w:after="100" w:afterAutospacing="1" w:line="578" w:lineRule="exact"/>
        <w:ind w:firstLine="643" w:firstLineChars="200"/>
        <w:rPr>
          <w:rFonts w:ascii="楷体" w:hAnsi="楷体" w:eastAsia="楷体" w:cs="楷体"/>
          <w:b/>
          <w:sz w:val="32"/>
          <w:szCs w:val="32"/>
        </w:rPr>
      </w:pPr>
      <w:r>
        <w:rPr>
          <w:rFonts w:hint="eastAsia" w:ascii="楷体" w:hAnsi="楷体" w:eastAsia="楷体" w:cs="楷体"/>
          <w:b/>
          <w:sz w:val="32"/>
          <w:szCs w:val="32"/>
        </w:rPr>
        <w:t>（三）重点项目绩效评价情况（如有）。无</w:t>
      </w:r>
    </w:p>
    <w:p>
      <w:pPr>
        <w:shd w:val="clear" w:color="auto" w:fill="FFFFFF"/>
        <w:spacing w:before="100" w:beforeAutospacing="1" w:after="100" w:afterAutospacing="1" w:line="578" w:lineRule="exact"/>
        <w:ind w:firstLine="643" w:firstLineChars="200"/>
        <w:rPr>
          <w:rFonts w:ascii="楷体" w:hAnsi="楷体" w:eastAsia="楷体" w:cs="楷体"/>
          <w:b/>
          <w:sz w:val="32"/>
          <w:szCs w:val="32"/>
        </w:rPr>
      </w:pPr>
      <w:r>
        <w:rPr>
          <w:rFonts w:hint="eastAsia" w:ascii="楷体" w:hAnsi="楷体" w:eastAsia="楷体" w:cs="楷体"/>
          <w:b/>
          <w:sz w:val="32"/>
          <w:szCs w:val="32"/>
        </w:rPr>
        <w:t>（四）其他以部门为主体开展的项目绩效评价报告（如有）。详见附件2</w:t>
      </w:r>
    </w:p>
    <w:p>
      <w:pPr>
        <w:shd w:val="clear" w:color="auto" w:fill="FFFFFF"/>
        <w:spacing w:before="100" w:beforeAutospacing="1" w:after="100" w:afterAutospacing="1"/>
        <w:ind w:firstLine="640" w:firstLineChars="200"/>
        <w:rPr>
          <w:rFonts w:ascii="黑体" w:hAnsi="黑体" w:eastAsia="黑体" w:cs="黑体"/>
          <w:bCs/>
          <w:sz w:val="32"/>
          <w:szCs w:val="32"/>
        </w:rPr>
      </w:pPr>
      <w:r>
        <w:rPr>
          <w:rFonts w:hint="eastAsia" w:ascii="黑体" w:hAnsi="黑体" w:eastAsia="黑体" w:cs="黑体"/>
          <w:bCs/>
          <w:sz w:val="32"/>
          <w:szCs w:val="32"/>
        </w:rPr>
        <w:t>十二、其他重要事项情况说明。</w:t>
      </w:r>
    </w:p>
    <w:p>
      <w:pPr>
        <w:shd w:val="clear" w:color="auto" w:fill="FFFFFF"/>
        <w:spacing w:before="100" w:beforeAutospacing="1" w:after="100" w:afterAutospacing="1"/>
        <w:ind w:firstLine="643" w:firstLineChars="200"/>
        <w:rPr>
          <w:rFonts w:ascii="楷体" w:hAnsi="楷体" w:eastAsia="楷体" w:cs="楷体"/>
          <w:b/>
          <w:sz w:val="32"/>
          <w:szCs w:val="32"/>
        </w:rPr>
      </w:pPr>
      <w:bookmarkStart w:id="97" w:name="_Toc5978_WPSOffice_Level2"/>
      <w:bookmarkStart w:id="98" w:name="_Toc32639_WPSOffice_Level2"/>
      <w:bookmarkStart w:id="99" w:name="_Toc15565_WPSOffice_Level2"/>
      <w:bookmarkStart w:id="100" w:name="_Toc15262_WPSOffice_Level2"/>
      <w:bookmarkStart w:id="101" w:name="_Toc18325_WPSOffice_Level2"/>
      <w:bookmarkStart w:id="102" w:name="_Toc23598_WPSOffice_Level2"/>
      <w:r>
        <w:rPr>
          <w:rFonts w:hint="eastAsia" w:ascii="楷体" w:hAnsi="楷体" w:eastAsia="楷体" w:cs="楷体"/>
          <w:b/>
          <w:sz w:val="32"/>
          <w:szCs w:val="32"/>
        </w:rPr>
        <w:t>（一）机关运行经费支出情况。</w:t>
      </w:r>
      <w:bookmarkEnd w:id="97"/>
      <w:bookmarkEnd w:id="98"/>
      <w:bookmarkEnd w:id="99"/>
      <w:bookmarkEnd w:id="100"/>
      <w:bookmarkEnd w:id="101"/>
      <w:bookmarkEnd w:id="102"/>
    </w:p>
    <w:p>
      <w:pPr>
        <w:shd w:val="clear" w:color="auto" w:fill="FFFFFF"/>
        <w:spacing w:before="100" w:beforeAutospacing="1" w:after="100" w:afterAutospacing="1"/>
        <w:ind w:firstLine="640" w:firstLineChars="200"/>
        <w:rPr>
          <w:rFonts w:ascii="仿宋_GB2312" w:hAnsi="ˎ̥"/>
          <w:sz w:val="32"/>
          <w:szCs w:val="32"/>
        </w:rPr>
      </w:pPr>
      <w:r>
        <w:rPr>
          <w:rFonts w:ascii="仿宋_GB2312" w:hAnsi="ˎ̥"/>
          <w:sz w:val="32"/>
          <w:szCs w:val="32"/>
        </w:rPr>
        <w:t>2018年度</w:t>
      </w:r>
      <w:r>
        <w:rPr>
          <w:rFonts w:hint="eastAsia" w:ascii="仿宋_GB2312" w:hAnsi="ˎ̥"/>
          <w:sz w:val="32"/>
          <w:szCs w:val="32"/>
        </w:rPr>
        <w:t>海口市政府服务中心</w:t>
      </w:r>
      <w:r>
        <w:rPr>
          <w:rFonts w:ascii="仿宋_GB2312" w:hAnsi="ˎ̥"/>
          <w:sz w:val="32"/>
          <w:szCs w:val="32"/>
        </w:rPr>
        <w:t>部门（单位）机关运行经费</w:t>
      </w:r>
      <w:r>
        <w:rPr>
          <w:rFonts w:hint="eastAsia" w:ascii="仿宋_GB2312" w:hAnsi="ˎ̥"/>
          <w:sz w:val="32"/>
          <w:szCs w:val="32"/>
        </w:rPr>
        <w:t>70.93</w:t>
      </w:r>
      <w:r>
        <w:rPr>
          <w:rFonts w:ascii="仿宋_GB2312" w:hAnsi="ˎ̥"/>
          <w:sz w:val="32"/>
          <w:szCs w:val="32"/>
        </w:rPr>
        <w:t>万元（为部门决算中行政单位和参公事业单位使用一般公共预算财政拨款安排的基本支出中的日常公用经费支出），比2017年度增加</w:t>
      </w:r>
      <w:r>
        <w:rPr>
          <w:rFonts w:hint="eastAsia" w:ascii="仿宋_GB2312" w:hAnsi="ˎ̥"/>
          <w:sz w:val="32"/>
          <w:szCs w:val="32"/>
        </w:rPr>
        <w:t>15.83</w:t>
      </w:r>
      <w:r>
        <w:rPr>
          <w:rFonts w:ascii="仿宋_GB2312" w:hAnsi="ˎ̥"/>
          <w:sz w:val="32"/>
          <w:szCs w:val="32"/>
        </w:rPr>
        <w:t>万元，增长</w:t>
      </w:r>
      <w:r>
        <w:rPr>
          <w:rFonts w:hint="eastAsia" w:ascii="仿宋_GB2312" w:hAnsi="ˎ̥"/>
          <w:sz w:val="32"/>
          <w:szCs w:val="32"/>
        </w:rPr>
        <w:t>22.32</w:t>
      </w:r>
      <w:r>
        <w:rPr>
          <w:rFonts w:ascii="仿宋_GB2312" w:hAnsi="ˎ̥"/>
          <w:sz w:val="32"/>
          <w:szCs w:val="32"/>
        </w:rPr>
        <w:t>%。主要原因是</w:t>
      </w:r>
      <w:r>
        <w:rPr>
          <w:rFonts w:hint="eastAsia" w:ascii="仿宋_GB2312" w:hAnsi="ˎ̥"/>
          <w:sz w:val="32"/>
          <w:szCs w:val="32"/>
        </w:rPr>
        <w:t>：日常公用经费增加</w:t>
      </w:r>
      <w:r>
        <w:rPr>
          <w:rFonts w:ascii="仿宋_GB2312" w:hAnsi="ˎ̥"/>
          <w:sz w:val="32"/>
          <w:szCs w:val="32"/>
        </w:rPr>
        <w:t>（具体增减原因由部门根据实际情况填列）。</w:t>
      </w:r>
    </w:p>
    <w:p>
      <w:pPr>
        <w:shd w:val="clear" w:color="auto" w:fill="FFFFFF"/>
        <w:spacing w:before="100" w:beforeAutospacing="1" w:after="100" w:afterAutospacing="1"/>
        <w:ind w:firstLine="640" w:firstLineChars="200"/>
        <w:rPr>
          <w:rFonts w:ascii="仿宋_GB2312" w:hAnsi="ˎ̥"/>
          <w:sz w:val="32"/>
          <w:szCs w:val="32"/>
        </w:rPr>
      </w:pPr>
      <w:r>
        <w:rPr>
          <w:rFonts w:ascii="仿宋_GB2312" w:hAnsi="ˎ̥"/>
          <w:sz w:val="32"/>
          <w:szCs w:val="32"/>
        </w:rPr>
        <w:t>（取自CS05表。）</w:t>
      </w:r>
    </w:p>
    <w:p>
      <w:pPr>
        <w:shd w:val="clear" w:color="auto" w:fill="FFFFFF"/>
        <w:spacing w:before="100" w:beforeAutospacing="1" w:after="100" w:afterAutospacing="1"/>
        <w:ind w:firstLine="643" w:firstLineChars="200"/>
        <w:rPr>
          <w:rFonts w:ascii="楷体" w:hAnsi="楷体" w:eastAsia="楷体" w:cs="楷体"/>
          <w:b/>
          <w:sz w:val="32"/>
          <w:szCs w:val="32"/>
        </w:rPr>
      </w:pPr>
      <w:bookmarkStart w:id="103" w:name="_Toc32689_WPSOffice_Level2"/>
      <w:bookmarkStart w:id="104" w:name="_Toc23966_WPSOffice_Level2"/>
      <w:bookmarkStart w:id="105" w:name="_Toc13084_WPSOffice_Level2"/>
      <w:bookmarkStart w:id="106" w:name="_Toc25333_WPSOffice_Level2"/>
      <w:bookmarkStart w:id="107" w:name="_Toc3131_WPSOffice_Level2"/>
      <w:bookmarkStart w:id="108" w:name="_Toc30383_WPSOffice_Level2"/>
      <w:r>
        <w:rPr>
          <w:rFonts w:hint="eastAsia" w:ascii="楷体" w:hAnsi="楷体" w:eastAsia="楷体" w:cs="楷体"/>
          <w:b/>
          <w:sz w:val="32"/>
          <w:szCs w:val="32"/>
        </w:rPr>
        <w:t>（二）政府采购支出情况。</w:t>
      </w:r>
      <w:bookmarkEnd w:id="103"/>
      <w:bookmarkEnd w:id="104"/>
      <w:bookmarkEnd w:id="105"/>
      <w:bookmarkEnd w:id="106"/>
      <w:bookmarkEnd w:id="107"/>
      <w:bookmarkEnd w:id="108"/>
    </w:p>
    <w:p>
      <w:pPr>
        <w:shd w:val="clear" w:color="auto" w:fill="FFFFFF"/>
        <w:spacing w:before="100" w:beforeAutospacing="1" w:after="100" w:afterAutospacing="1"/>
        <w:ind w:firstLine="640" w:firstLineChars="200"/>
        <w:rPr>
          <w:rFonts w:ascii="仿宋_GB2312" w:hAnsi="ˎ̥"/>
          <w:sz w:val="32"/>
          <w:szCs w:val="32"/>
        </w:rPr>
      </w:pPr>
      <w:r>
        <w:rPr>
          <w:rFonts w:ascii="仿宋_GB2312" w:hAnsi="ˎ̥"/>
          <w:sz w:val="32"/>
          <w:szCs w:val="32"/>
        </w:rPr>
        <w:t>2018年度</w:t>
      </w:r>
      <w:r>
        <w:rPr>
          <w:rFonts w:hint="eastAsia" w:ascii="仿宋_GB2312" w:hAnsi="ˎ̥"/>
          <w:sz w:val="32"/>
          <w:szCs w:val="32"/>
        </w:rPr>
        <w:t>海口市政府服务中心</w:t>
      </w:r>
      <w:r>
        <w:rPr>
          <w:rFonts w:ascii="仿宋_GB2312" w:hAnsi="ˎ̥"/>
          <w:sz w:val="32"/>
          <w:szCs w:val="32"/>
        </w:rPr>
        <w:t>部门（单位）政府采购支出总额</w:t>
      </w:r>
      <w:r>
        <w:rPr>
          <w:rFonts w:hint="eastAsia" w:ascii="仿宋_GB2312" w:hAnsi="ˎ̥"/>
          <w:sz w:val="32"/>
          <w:szCs w:val="32"/>
        </w:rPr>
        <w:t>310.58</w:t>
      </w:r>
      <w:r>
        <w:rPr>
          <w:rFonts w:ascii="仿宋_GB2312" w:hAnsi="ˎ̥"/>
          <w:sz w:val="32"/>
          <w:szCs w:val="32"/>
        </w:rPr>
        <w:t>万元，其中：政府采购货物支出</w:t>
      </w:r>
      <w:r>
        <w:rPr>
          <w:rFonts w:hint="eastAsia" w:ascii="仿宋_GB2312" w:hAnsi="ˎ̥"/>
          <w:sz w:val="32"/>
          <w:szCs w:val="32"/>
        </w:rPr>
        <w:t>310.58</w:t>
      </w:r>
      <w:r>
        <w:rPr>
          <w:rFonts w:ascii="仿宋_GB2312" w:hAnsi="ˎ̥"/>
          <w:sz w:val="32"/>
          <w:szCs w:val="32"/>
        </w:rPr>
        <w:t>万元、政府采购工程支出</w:t>
      </w:r>
      <w:r>
        <w:rPr>
          <w:rFonts w:hint="eastAsia" w:ascii="仿宋_GB2312" w:hAnsi="ˎ̥"/>
          <w:sz w:val="32"/>
          <w:szCs w:val="32"/>
        </w:rPr>
        <w:t>0</w:t>
      </w:r>
      <w:r>
        <w:rPr>
          <w:rFonts w:ascii="仿宋_GB2312" w:hAnsi="ˎ̥"/>
          <w:sz w:val="32"/>
          <w:szCs w:val="32"/>
        </w:rPr>
        <w:t>万元、政府采购服务支出</w:t>
      </w:r>
      <w:r>
        <w:rPr>
          <w:rFonts w:hint="eastAsia" w:ascii="仿宋_GB2312" w:hAnsi="ˎ̥"/>
          <w:sz w:val="32"/>
          <w:szCs w:val="32"/>
        </w:rPr>
        <w:t>0</w:t>
      </w:r>
      <w:r>
        <w:rPr>
          <w:rFonts w:ascii="仿宋_GB2312" w:hAnsi="ˎ̥"/>
          <w:sz w:val="32"/>
          <w:szCs w:val="32"/>
        </w:rPr>
        <w:t>万元。授予中小企业合同金额</w:t>
      </w:r>
      <w:r>
        <w:rPr>
          <w:rFonts w:hint="eastAsia" w:ascii="仿宋_GB2312" w:hAnsi="ˎ̥"/>
          <w:sz w:val="32"/>
          <w:szCs w:val="32"/>
        </w:rPr>
        <w:t>0</w:t>
      </w:r>
      <w:r>
        <w:rPr>
          <w:rFonts w:ascii="仿宋_GB2312" w:hAnsi="ˎ̥"/>
          <w:sz w:val="32"/>
          <w:szCs w:val="32"/>
        </w:rPr>
        <w:t>万元，占政府采购支出总额的</w:t>
      </w:r>
      <w:r>
        <w:rPr>
          <w:rFonts w:hint="eastAsia" w:ascii="仿宋_GB2312" w:hAnsi="ˎ̥"/>
          <w:sz w:val="32"/>
          <w:szCs w:val="32"/>
        </w:rPr>
        <w:t>0</w:t>
      </w:r>
      <w:r>
        <w:rPr>
          <w:rFonts w:ascii="仿宋_GB2312" w:hAnsi="ˎ̥"/>
          <w:sz w:val="32"/>
          <w:szCs w:val="32"/>
        </w:rPr>
        <w:t>%，其中：授予小微企业合同金额</w:t>
      </w:r>
      <w:r>
        <w:rPr>
          <w:rFonts w:hint="eastAsia" w:ascii="仿宋_GB2312" w:hAnsi="ˎ̥"/>
          <w:sz w:val="32"/>
          <w:szCs w:val="32"/>
        </w:rPr>
        <w:t>0</w:t>
      </w:r>
      <w:r>
        <w:rPr>
          <w:rFonts w:ascii="仿宋_GB2312" w:hAnsi="ˎ̥"/>
          <w:sz w:val="32"/>
          <w:szCs w:val="32"/>
        </w:rPr>
        <w:t>万元，占政府采购支出总额的</w:t>
      </w:r>
      <w:r>
        <w:rPr>
          <w:rFonts w:hint="eastAsia" w:ascii="仿宋_GB2312" w:hAnsi="ˎ̥"/>
          <w:sz w:val="32"/>
          <w:szCs w:val="32"/>
        </w:rPr>
        <w:t>0</w:t>
      </w:r>
      <w:r>
        <w:rPr>
          <w:rFonts w:ascii="仿宋_GB2312" w:hAnsi="ˎ̥"/>
          <w:sz w:val="32"/>
          <w:szCs w:val="32"/>
        </w:rPr>
        <w:t>%。</w:t>
      </w:r>
    </w:p>
    <w:p>
      <w:pPr>
        <w:shd w:val="clear" w:color="auto" w:fill="FFFFFF"/>
        <w:spacing w:before="100" w:beforeAutospacing="1" w:after="100" w:afterAutospacing="1"/>
        <w:ind w:firstLine="640" w:firstLineChars="200"/>
        <w:rPr>
          <w:rFonts w:ascii="仿宋_GB2312" w:hAnsi="ˎ̥"/>
          <w:sz w:val="32"/>
          <w:szCs w:val="32"/>
        </w:rPr>
      </w:pPr>
      <w:r>
        <w:rPr>
          <w:rFonts w:ascii="仿宋_GB2312" w:hAnsi="ˎ̥"/>
          <w:sz w:val="32"/>
          <w:szCs w:val="32"/>
        </w:rPr>
        <w:t>（取自CS06表。）</w:t>
      </w:r>
    </w:p>
    <w:p>
      <w:pPr>
        <w:shd w:val="clear" w:color="auto" w:fill="FFFFFF"/>
        <w:spacing w:before="100" w:beforeAutospacing="1" w:after="100" w:afterAutospacing="1"/>
        <w:ind w:firstLine="643" w:firstLineChars="200"/>
        <w:rPr>
          <w:rFonts w:ascii="楷体" w:hAnsi="楷体" w:eastAsia="楷体" w:cs="楷体"/>
          <w:b/>
          <w:sz w:val="32"/>
          <w:szCs w:val="32"/>
        </w:rPr>
      </w:pPr>
      <w:bookmarkStart w:id="109" w:name="_Toc15129_WPSOffice_Level2"/>
      <w:bookmarkStart w:id="110" w:name="_Toc10902_WPSOffice_Level2"/>
      <w:bookmarkStart w:id="111" w:name="_Toc527_WPSOffice_Level2"/>
      <w:bookmarkStart w:id="112" w:name="_Toc29584_WPSOffice_Level2"/>
      <w:bookmarkStart w:id="113" w:name="_Toc19989_WPSOffice_Level2"/>
      <w:bookmarkStart w:id="114" w:name="_Toc6016_WPSOffice_Level2"/>
      <w:r>
        <w:rPr>
          <w:rFonts w:hint="eastAsia" w:ascii="楷体" w:hAnsi="楷体" w:eastAsia="楷体" w:cs="楷体"/>
          <w:b/>
          <w:sz w:val="32"/>
          <w:szCs w:val="32"/>
        </w:rPr>
        <w:t>（三）国有资产占用情况。</w:t>
      </w:r>
      <w:bookmarkEnd w:id="109"/>
      <w:bookmarkEnd w:id="110"/>
      <w:bookmarkEnd w:id="111"/>
      <w:bookmarkEnd w:id="112"/>
      <w:bookmarkEnd w:id="113"/>
      <w:bookmarkEnd w:id="114"/>
    </w:p>
    <w:p>
      <w:pPr>
        <w:spacing w:line="578" w:lineRule="exact"/>
        <w:ind w:firstLine="640" w:firstLineChars="200"/>
        <w:rPr>
          <w:rFonts w:hint="eastAsia" w:ascii="仿宋_GB2312" w:hAnsi="ˎ̥" w:eastAsia="仿宋_GB2312"/>
          <w:sz w:val="32"/>
          <w:szCs w:val="32"/>
        </w:rPr>
      </w:pPr>
      <w:r>
        <w:rPr>
          <w:rFonts w:ascii="仿宋_GB2312" w:hAnsi="ˎ̥"/>
          <w:sz w:val="32"/>
          <w:szCs w:val="32"/>
        </w:rPr>
        <w:t>截至2018年度12月31日，本部门共有车辆</w:t>
      </w:r>
      <w:r>
        <w:rPr>
          <w:rFonts w:hint="eastAsia" w:ascii="仿宋_GB2312" w:hAnsi="ˎ̥"/>
          <w:sz w:val="32"/>
          <w:szCs w:val="32"/>
        </w:rPr>
        <w:t>5</w:t>
      </w:r>
      <w:r>
        <w:rPr>
          <w:rFonts w:ascii="仿宋_GB2312" w:hAnsi="ˎ̥"/>
          <w:sz w:val="32"/>
          <w:szCs w:val="32"/>
        </w:rPr>
        <w:t>辆，其中，</w:t>
      </w:r>
      <w:r>
        <w:rPr>
          <w:rFonts w:hint="eastAsia" w:ascii="仿宋_GB2312" w:hAnsi="ˎ̥" w:eastAsia="仿宋_GB2312"/>
          <w:sz w:val="32"/>
          <w:szCs w:val="32"/>
          <w:lang w:val="en-US" w:eastAsia="zh-CN"/>
        </w:rPr>
        <w:t xml:space="preserve"> </w:t>
      </w:r>
      <w:r>
        <w:rPr>
          <w:rFonts w:hint="eastAsia" w:ascii="仿宋_GB2312" w:hAnsi="ˎ̥" w:eastAsia="仿宋_GB2312"/>
          <w:sz w:val="32"/>
          <w:szCs w:val="32"/>
        </w:rPr>
        <w:t>其中，部级领导干部用</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一般公务用车</w:t>
      </w:r>
      <w:r>
        <w:rPr>
          <w:rFonts w:hint="eastAsia" w:ascii="仿宋_GB2312" w:hAnsi="ˎ̥" w:eastAsia="仿宋_GB2312"/>
          <w:sz w:val="32"/>
          <w:szCs w:val="32"/>
          <w:lang w:val="en-US" w:eastAsia="zh-CN"/>
        </w:rPr>
        <w:t>0辆、一般执法执勤用车0辆、</w:t>
      </w:r>
      <w:r>
        <w:rPr>
          <w:rFonts w:hint="eastAsia" w:ascii="仿宋_GB2312" w:hAnsi="ˎ̥" w:eastAsia="仿宋_GB2312"/>
          <w:sz w:val="32"/>
          <w:szCs w:val="32"/>
          <w:lang w:eastAsia="zh-CN"/>
        </w:rPr>
        <w:t>特种专业技术</w:t>
      </w:r>
      <w:r>
        <w:rPr>
          <w:rFonts w:hint="eastAsia" w:ascii="仿宋_GB2312" w:hAnsi="ˎ̥" w:eastAsia="仿宋_GB2312"/>
          <w:sz w:val="32"/>
          <w:szCs w:val="32"/>
        </w:rPr>
        <w:t>用车</w:t>
      </w:r>
      <w:r>
        <w:rPr>
          <w:rFonts w:hint="eastAsia" w:ascii="仿宋_GB2312" w:hAnsi="ˎ̥" w:eastAsia="仿宋_GB2312"/>
          <w:sz w:val="32"/>
          <w:szCs w:val="32"/>
          <w:lang w:val="en-US" w:eastAsia="zh-CN"/>
        </w:rPr>
        <w:t>0</w:t>
      </w:r>
      <w:r>
        <w:rPr>
          <w:rFonts w:hint="eastAsia" w:ascii="仿宋_GB2312" w:hAnsi="ˎ̥" w:eastAsia="仿宋_GB2312"/>
          <w:sz w:val="32"/>
          <w:szCs w:val="32"/>
        </w:rPr>
        <w:t>辆，其他用车</w:t>
      </w:r>
      <w:r>
        <w:rPr>
          <w:rFonts w:hint="eastAsia" w:ascii="仿宋_GB2312" w:hAnsi="ˎ̥" w:eastAsia="仿宋_GB2312"/>
          <w:sz w:val="32"/>
          <w:szCs w:val="32"/>
          <w:lang w:val="en-US" w:eastAsia="zh-CN"/>
        </w:rPr>
        <w:t>0</w:t>
      </w:r>
      <w:r>
        <w:rPr>
          <w:rFonts w:hint="eastAsia" w:ascii="仿宋_GB2312" w:hAnsi="ˎ̥" w:eastAsia="仿宋_GB2312"/>
          <w:sz w:val="32"/>
          <w:szCs w:val="32"/>
        </w:rPr>
        <w:t>辆；单位价值50万元以上通用设备</w:t>
      </w:r>
      <w:r>
        <w:rPr>
          <w:rFonts w:hint="eastAsia" w:ascii="仿宋_GB2312" w:hAnsi="ˎ̥" w:eastAsia="仿宋_GB2312"/>
          <w:sz w:val="32"/>
          <w:szCs w:val="32"/>
          <w:lang w:val="en-US" w:eastAsia="zh-CN"/>
        </w:rPr>
        <w:t>0</w:t>
      </w:r>
      <w:r>
        <w:rPr>
          <w:rFonts w:hint="eastAsia" w:ascii="仿宋_GB2312" w:hAnsi="ˎ̥" w:eastAsia="仿宋_GB2312"/>
          <w:sz w:val="32"/>
          <w:szCs w:val="32"/>
        </w:rPr>
        <w:t>台（套），单价100万元以上专用设备</w:t>
      </w:r>
      <w:r>
        <w:rPr>
          <w:rFonts w:hint="eastAsia" w:ascii="仿宋_GB2312" w:hAnsi="ˎ̥" w:eastAsia="仿宋_GB2312"/>
          <w:sz w:val="32"/>
          <w:szCs w:val="32"/>
          <w:lang w:val="en-US" w:eastAsia="zh-CN"/>
        </w:rPr>
        <w:t>0</w:t>
      </w:r>
      <w:r>
        <w:rPr>
          <w:rFonts w:hint="eastAsia" w:ascii="仿宋_GB2312" w:hAnsi="ˎ̥" w:eastAsia="仿宋_GB2312"/>
          <w:sz w:val="32"/>
          <w:szCs w:val="32"/>
        </w:rPr>
        <w:t>台（套）。</w:t>
      </w:r>
    </w:p>
    <w:p>
      <w:pPr>
        <w:shd w:val="clear" w:color="auto" w:fill="FFFFFF"/>
        <w:spacing w:before="100" w:beforeAutospacing="1" w:after="100" w:afterAutospacing="1" w:line="578" w:lineRule="exact"/>
        <w:ind w:firstLine="640" w:firstLineChars="200"/>
        <w:rPr>
          <w:rFonts w:ascii="仿宋_GB2312" w:hAnsi="ˎ̥"/>
          <w:sz w:val="32"/>
          <w:szCs w:val="32"/>
        </w:rPr>
      </w:pPr>
      <w:r>
        <w:rPr>
          <w:rFonts w:hint="eastAsia" w:ascii="仿宋_GB2312" w:hAnsi="ˎ̥" w:eastAsia="仿宋_GB2312"/>
          <w:sz w:val="32"/>
          <w:szCs w:val="32"/>
          <w:lang w:val="en-US" w:eastAsia="zh-CN"/>
        </w:rPr>
        <w:t xml:space="preserve"> </w:t>
      </w:r>
      <w:bookmarkStart w:id="121" w:name="_GoBack"/>
      <w:bookmarkEnd w:id="121"/>
      <w:r>
        <w:rPr>
          <w:rFonts w:ascii="仿宋_GB2312" w:hAnsi="ˎ̥"/>
          <w:sz w:val="32"/>
          <w:szCs w:val="32"/>
        </w:rPr>
        <w:t>本部门占用房屋面积</w:t>
      </w:r>
      <w:r>
        <w:rPr>
          <w:rFonts w:hint="eastAsia" w:ascii="仿宋_GB2312" w:hAnsi="ˎ̥"/>
          <w:sz w:val="32"/>
          <w:szCs w:val="32"/>
        </w:rPr>
        <w:t>0</w:t>
      </w:r>
      <w:r>
        <w:rPr>
          <w:rFonts w:ascii="仿宋_GB2312" w:hAnsi="ˎ̥"/>
          <w:sz w:val="32"/>
          <w:szCs w:val="32"/>
        </w:rPr>
        <w:t>平方米，其中：办公用房</w:t>
      </w:r>
      <w:r>
        <w:rPr>
          <w:rFonts w:hint="eastAsia" w:ascii="仿宋_GB2312" w:hAnsi="ˎ̥"/>
          <w:sz w:val="32"/>
          <w:szCs w:val="32"/>
        </w:rPr>
        <w:t>0</w:t>
      </w:r>
      <w:r>
        <w:rPr>
          <w:rFonts w:ascii="仿宋_GB2312" w:hAnsi="ˎ̥"/>
          <w:sz w:val="32"/>
          <w:szCs w:val="32"/>
        </w:rPr>
        <w:t>平方米，业务用房</w:t>
      </w:r>
      <w:r>
        <w:rPr>
          <w:rFonts w:hint="eastAsia" w:ascii="仿宋_GB2312" w:hAnsi="ˎ̥"/>
          <w:sz w:val="32"/>
          <w:szCs w:val="32"/>
        </w:rPr>
        <w:t>0</w:t>
      </w:r>
      <w:r>
        <w:rPr>
          <w:rFonts w:ascii="仿宋_GB2312" w:hAnsi="ˎ̥"/>
          <w:sz w:val="32"/>
          <w:szCs w:val="32"/>
        </w:rPr>
        <w:t>平方米，其他（不含构筑物）</w:t>
      </w:r>
      <w:r>
        <w:rPr>
          <w:rFonts w:hint="eastAsia" w:ascii="仿宋_GB2312" w:hAnsi="ˎ̥"/>
          <w:sz w:val="32"/>
          <w:szCs w:val="32"/>
        </w:rPr>
        <w:t>0</w:t>
      </w:r>
      <w:r>
        <w:rPr>
          <w:rFonts w:ascii="仿宋_GB2312" w:hAnsi="ˎ̥"/>
          <w:sz w:val="32"/>
          <w:szCs w:val="32"/>
        </w:rPr>
        <w:t>平方米。</w:t>
      </w:r>
    </w:p>
    <w:p>
      <w:pPr>
        <w:shd w:val="clear" w:color="auto" w:fill="FFFFFF"/>
        <w:spacing w:before="100" w:beforeAutospacing="1" w:after="100" w:afterAutospacing="1" w:line="578" w:lineRule="exact"/>
        <w:ind w:firstLine="640" w:firstLineChars="200"/>
        <w:rPr>
          <w:rFonts w:ascii="仿宋_GB2312" w:hAnsi="ˎ̥"/>
          <w:sz w:val="32"/>
          <w:szCs w:val="32"/>
        </w:rPr>
      </w:pPr>
      <w:r>
        <w:rPr>
          <w:rFonts w:ascii="仿宋_GB2312" w:hAnsi="ˎ̥"/>
          <w:sz w:val="32"/>
          <w:szCs w:val="32"/>
        </w:rPr>
        <w:t>（车辆、设备占用相关数字可取自2018年度部门决算报表CS05表部门决算相关信息统计表；房屋占用数字可取自2018年度部门决算报表F01表资产情况表。）</w:t>
      </w:r>
    </w:p>
    <w:p>
      <w:pPr>
        <w:shd w:val="clear" w:color="auto" w:fill="FFFFFF"/>
        <w:spacing w:before="100" w:beforeAutospacing="1" w:after="100" w:afterAutospacing="1" w:line="578" w:lineRule="exact"/>
        <w:ind w:firstLine="640" w:firstLineChars="200"/>
        <w:rPr>
          <w:rFonts w:ascii="仿宋_GB2312" w:hAnsi="ˎ̥"/>
          <w:sz w:val="32"/>
          <w:szCs w:val="32"/>
        </w:rPr>
      </w:pPr>
    </w:p>
    <w:p>
      <w:pPr>
        <w:shd w:val="clear" w:color="auto" w:fill="FFFFFF"/>
        <w:spacing w:before="100" w:beforeAutospacing="1" w:after="100" w:afterAutospacing="1"/>
        <w:jc w:val="center"/>
        <w:rPr>
          <w:rFonts w:ascii="黑体" w:hAnsi="ˎ̥" w:eastAsia="黑体"/>
          <w:sz w:val="32"/>
          <w:szCs w:val="32"/>
        </w:rPr>
      </w:pPr>
      <w:bookmarkStart w:id="115" w:name="_Toc4398_WPSOffice_Level1"/>
      <w:bookmarkStart w:id="116" w:name="_Toc8874_WPSOffice_Level1"/>
      <w:bookmarkStart w:id="117" w:name="_Toc15425_WPSOffice_Level1"/>
      <w:bookmarkStart w:id="118" w:name="_Toc17580_WPSOffice_Level1"/>
      <w:bookmarkStart w:id="119" w:name="_Toc8808_WPSOffice_Level1"/>
      <w:bookmarkStart w:id="120" w:name="_Toc11039_WPSOffice_Level1"/>
      <w:r>
        <w:rPr>
          <w:rFonts w:hint="eastAsia" w:ascii="黑体" w:hAnsi="ˎ̥" w:eastAsia="黑体"/>
          <w:sz w:val="32"/>
          <w:szCs w:val="32"/>
        </w:rPr>
        <w:t>第四部分  名词解释</w:t>
      </w:r>
      <w:bookmarkEnd w:id="115"/>
      <w:bookmarkEnd w:id="116"/>
      <w:bookmarkEnd w:id="117"/>
      <w:bookmarkEnd w:id="118"/>
      <w:bookmarkEnd w:id="119"/>
      <w:bookmarkEnd w:id="120"/>
    </w:p>
    <w:p>
      <w:pPr>
        <w:shd w:val="clear" w:color="auto" w:fill="FFFFFF"/>
        <w:spacing w:before="100" w:beforeAutospacing="1" w:after="100" w:afterAutospacing="1"/>
        <w:jc w:val="center"/>
        <w:rPr>
          <w:rFonts w:ascii="黑体" w:hAnsi="ˎ̥" w:eastAsia="黑体"/>
          <w:sz w:val="32"/>
          <w:szCs w:val="32"/>
        </w:rPr>
      </w:pPr>
    </w:p>
    <w:p>
      <w:pPr>
        <w:shd w:val="clear" w:color="auto" w:fill="FFFFFF"/>
        <w:spacing w:before="100" w:beforeAutospacing="1" w:after="100" w:afterAutospacing="1"/>
        <w:ind w:firstLine="640" w:firstLineChars="200"/>
        <w:rPr>
          <w:rFonts w:ascii="仿宋_GB2312" w:hAnsi="ˎ̥"/>
          <w:sz w:val="32"/>
          <w:szCs w:val="32"/>
        </w:rPr>
      </w:pPr>
      <w:r>
        <w:rPr>
          <w:rFonts w:ascii="仿宋_GB2312" w:hAnsi="ˎ̥"/>
          <w:sz w:val="32"/>
          <w:szCs w:val="32"/>
        </w:rPr>
        <w:t>一、财政拨款收入：指本级财政当年拨付的资金。</w:t>
      </w:r>
    </w:p>
    <w:p>
      <w:pPr>
        <w:shd w:val="clear" w:color="auto" w:fill="FFFFFF"/>
        <w:spacing w:before="100" w:beforeAutospacing="1" w:after="100" w:afterAutospacing="1"/>
        <w:ind w:firstLine="640" w:firstLineChars="200"/>
        <w:rPr>
          <w:rFonts w:ascii="仿宋_GB2312" w:hAnsi="ˎ̥"/>
          <w:sz w:val="32"/>
          <w:szCs w:val="32"/>
        </w:rPr>
      </w:pPr>
      <w:r>
        <w:rPr>
          <w:rFonts w:ascii="仿宋_GB2312" w:hAnsi="ˎ̥"/>
          <w:sz w:val="32"/>
          <w:szCs w:val="32"/>
        </w:rPr>
        <w:t>二、事业收入：指事业单位开展专业业务活动及辅助活动取得的收入。</w:t>
      </w:r>
    </w:p>
    <w:p>
      <w:pPr>
        <w:shd w:val="clear" w:color="auto" w:fill="FFFFFF"/>
        <w:spacing w:before="100" w:beforeAutospacing="1" w:after="100" w:afterAutospacing="1"/>
        <w:ind w:firstLine="640" w:firstLineChars="200"/>
        <w:rPr>
          <w:rFonts w:ascii="仿宋_GB2312" w:hAnsi="ˎ̥"/>
          <w:sz w:val="32"/>
          <w:szCs w:val="32"/>
        </w:rPr>
      </w:pPr>
      <w:r>
        <w:rPr>
          <w:rFonts w:ascii="仿宋_GB2312" w:hAnsi="ˎ̥"/>
          <w:sz w:val="32"/>
          <w:szCs w:val="32"/>
        </w:rPr>
        <w:t>三、经营收入：指事业单位在专业业务活动及其辅助活动之外开展非独立核算经营活动取得的收入。</w:t>
      </w:r>
    </w:p>
    <w:p>
      <w:pPr>
        <w:shd w:val="clear" w:color="auto" w:fill="FFFFFF"/>
        <w:spacing w:before="100" w:beforeAutospacing="1" w:after="100" w:afterAutospacing="1"/>
        <w:ind w:firstLine="640" w:firstLineChars="200"/>
        <w:rPr>
          <w:rFonts w:ascii="仿宋_GB2312" w:hAnsi="ˎ̥"/>
          <w:sz w:val="32"/>
          <w:szCs w:val="32"/>
        </w:rPr>
      </w:pPr>
      <w:r>
        <w:rPr>
          <w:rFonts w:ascii="仿宋_GB2312" w:hAnsi="ˎ̥"/>
          <w:sz w:val="32"/>
          <w:szCs w:val="32"/>
        </w:rPr>
        <w:t>四、其他收入：指除上述“财政拨款收入”“事业收入”“经营收入”等以外的收入。</w:t>
      </w:r>
    </w:p>
    <w:p>
      <w:pPr>
        <w:shd w:val="clear" w:color="auto" w:fill="FFFFFF"/>
        <w:spacing w:before="100" w:beforeAutospacing="1" w:after="100" w:afterAutospacing="1"/>
        <w:ind w:firstLine="640" w:firstLineChars="200"/>
        <w:rPr>
          <w:rFonts w:ascii="仿宋_GB2312" w:hAnsi="ˎ̥"/>
          <w:sz w:val="32"/>
          <w:szCs w:val="32"/>
        </w:rPr>
      </w:pPr>
      <w:r>
        <w:rPr>
          <w:rFonts w:ascii="仿宋_GB2312" w:hAnsi="ˎ̥"/>
          <w:sz w:val="32"/>
          <w:szCs w:val="32"/>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shd w:val="clear" w:color="auto" w:fill="FFFFFF"/>
        <w:spacing w:before="100" w:beforeAutospacing="1" w:after="100" w:afterAutospacing="1"/>
        <w:ind w:firstLine="640" w:firstLineChars="200"/>
        <w:rPr>
          <w:rFonts w:ascii="仿宋_GB2312" w:hAnsi="ˎ̥"/>
          <w:sz w:val="32"/>
          <w:szCs w:val="32"/>
        </w:rPr>
      </w:pPr>
      <w:r>
        <w:rPr>
          <w:rFonts w:ascii="仿宋_GB2312" w:hAnsi="ˎ̥"/>
          <w:sz w:val="32"/>
          <w:szCs w:val="32"/>
        </w:rPr>
        <w:t>六、年初结转和结余：指以前年度尚未完成、结转到本年按有关规定继续使用的资金。</w:t>
      </w:r>
    </w:p>
    <w:p>
      <w:pPr>
        <w:shd w:val="clear" w:color="auto" w:fill="FFFFFF"/>
        <w:spacing w:before="100" w:beforeAutospacing="1" w:after="100" w:afterAutospacing="1"/>
        <w:ind w:firstLine="640" w:firstLineChars="200"/>
        <w:rPr>
          <w:rFonts w:ascii="仿宋_GB2312" w:hAnsi="ˎ̥"/>
          <w:sz w:val="32"/>
          <w:szCs w:val="32"/>
        </w:rPr>
      </w:pPr>
      <w:r>
        <w:rPr>
          <w:rFonts w:ascii="仿宋_GB2312" w:hAnsi="ˎ̥"/>
          <w:sz w:val="32"/>
          <w:szCs w:val="32"/>
        </w:rPr>
        <w:t>七、结余分配：指事业单位按规定提取的职工福利基金、事业基金和缴纳的所得税，以及建设单位按规定应交回的基本建设竣工项目结余资金。</w:t>
      </w:r>
    </w:p>
    <w:p>
      <w:pPr>
        <w:shd w:val="clear" w:color="auto" w:fill="FFFFFF"/>
        <w:spacing w:before="100" w:beforeAutospacing="1" w:after="100" w:afterAutospacing="1"/>
        <w:ind w:firstLine="640" w:firstLineChars="200"/>
        <w:rPr>
          <w:rFonts w:ascii="仿宋_GB2312" w:hAnsi="ˎ̥"/>
          <w:sz w:val="32"/>
          <w:szCs w:val="32"/>
        </w:rPr>
      </w:pPr>
      <w:r>
        <w:rPr>
          <w:rFonts w:ascii="仿宋_GB2312" w:hAnsi="ˎ̥"/>
          <w:sz w:val="32"/>
          <w:szCs w:val="32"/>
        </w:rPr>
        <w:t>八、年末结转和结余：指本年度或以前年度预算安排、因客观条件发生变化无法按原计划实施，需要延迟到以后年度按有关规定继续使用的资金。</w:t>
      </w:r>
    </w:p>
    <w:p>
      <w:pPr>
        <w:shd w:val="clear" w:color="auto" w:fill="FFFFFF"/>
        <w:spacing w:before="100" w:beforeAutospacing="1" w:after="100" w:afterAutospacing="1"/>
        <w:ind w:firstLine="640" w:firstLineChars="200"/>
        <w:rPr>
          <w:rFonts w:ascii="仿宋_GB2312" w:hAnsi="ˎ̥"/>
          <w:sz w:val="32"/>
          <w:szCs w:val="32"/>
        </w:rPr>
      </w:pPr>
      <w:r>
        <w:rPr>
          <w:rFonts w:ascii="仿宋_GB2312" w:hAnsi="ˎ̥"/>
          <w:sz w:val="32"/>
          <w:szCs w:val="32"/>
        </w:rPr>
        <w:t>九、基本支出：指为保障机构正常运转、完成日常工作任务而发生的人员支出和公用支出。</w:t>
      </w:r>
    </w:p>
    <w:p>
      <w:pPr>
        <w:shd w:val="clear" w:color="auto" w:fill="FFFFFF"/>
        <w:spacing w:before="100" w:beforeAutospacing="1" w:after="100" w:afterAutospacing="1"/>
        <w:ind w:firstLine="640" w:firstLineChars="200"/>
        <w:rPr>
          <w:rFonts w:ascii="仿宋_GB2312" w:hAnsi="ˎ̥"/>
          <w:sz w:val="32"/>
          <w:szCs w:val="32"/>
        </w:rPr>
      </w:pPr>
      <w:r>
        <w:rPr>
          <w:rFonts w:ascii="仿宋_GB2312" w:hAnsi="ˎ̥"/>
          <w:sz w:val="32"/>
          <w:szCs w:val="32"/>
        </w:rPr>
        <w:t>十、项目支出：指在基本支出之外为完成特定行政任务和事业发展目标所发生的支出。</w:t>
      </w:r>
    </w:p>
    <w:p>
      <w:pPr>
        <w:shd w:val="clear" w:color="auto" w:fill="FFFFFF"/>
        <w:spacing w:before="100" w:beforeAutospacing="1" w:after="100" w:afterAutospacing="1"/>
        <w:ind w:firstLine="640" w:firstLineChars="200"/>
        <w:rPr>
          <w:rFonts w:ascii="仿宋_GB2312" w:hAnsi="ˎ̥"/>
          <w:sz w:val="32"/>
          <w:szCs w:val="32"/>
        </w:rPr>
      </w:pPr>
      <w:r>
        <w:rPr>
          <w:rFonts w:ascii="仿宋_GB2312" w:hAnsi="ˎ̥"/>
          <w:sz w:val="32"/>
          <w:szCs w:val="32"/>
        </w:rPr>
        <w:t>十一、经营支出：指事业单位在专业业务活动及其辅助活动之外开展非独立核算经营活动发生的支出。</w:t>
      </w:r>
    </w:p>
    <w:p>
      <w:pPr>
        <w:shd w:val="clear" w:color="auto" w:fill="FFFFFF"/>
        <w:spacing w:before="100" w:beforeAutospacing="1" w:after="100" w:afterAutospacing="1"/>
        <w:ind w:firstLine="640" w:firstLineChars="200"/>
        <w:rPr>
          <w:rFonts w:ascii="仿宋_GB2312" w:hAnsi="ˎ̥"/>
          <w:sz w:val="32"/>
          <w:szCs w:val="32"/>
        </w:rPr>
      </w:pPr>
      <w:r>
        <w:rPr>
          <w:rFonts w:ascii="仿宋_GB2312" w:hAnsi="ˎ̥"/>
          <w:sz w:val="32"/>
          <w:szCs w:val="32"/>
        </w:rPr>
        <w:t>十二、“三公”经费：纳入本级财政预决算管理的“三公”经费，是指本级部门用一般公共预算财政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hd w:val="clear" w:color="auto" w:fill="FFFFFF"/>
        <w:spacing w:before="100" w:beforeAutospacing="1" w:after="100" w:afterAutospacing="1"/>
        <w:ind w:firstLine="640" w:firstLineChars="200"/>
        <w:rPr>
          <w:rFonts w:ascii="仿宋_GB2312" w:hAnsi="ˎ̥"/>
          <w:sz w:val="32"/>
          <w:szCs w:val="32"/>
        </w:rPr>
      </w:pPr>
      <w:r>
        <w:rPr>
          <w:rFonts w:ascii="仿宋_GB2312" w:hAnsi="ˎ̥"/>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hd w:val="clear" w:color="auto" w:fill="FFFFFF"/>
        <w:spacing w:before="100" w:beforeAutospacing="1" w:after="100" w:afterAutospacing="1"/>
        <w:ind w:firstLine="645"/>
        <w:rPr>
          <w:rFonts w:ascii="仿宋_GB2312" w:hAnsi="ˎ̥"/>
          <w:sz w:val="32"/>
          <w:szCs w:val="32"/>
        </w:rPr>
      </w:pPr>
      <w:r>
        <w:rPr>
          <w:rFonts w:ascii="仿宋_GB2312" w:hAnsi="ˎ̥"/>
          <w:sz w:val="32"/>
          <w:szCs w:val="32"/>
        </w:rPr>
        <w:t>十四、（支出功能分类的名词解释，各部门（单位）根据实际支出情况填列）</w:t>
      </w:r>
    </w:p>
    <w:sectPr>
      <w:pgSz w:w="11907"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40001" w:csb1="00000000"/>
  </w:font>
  <w:font w:name="ˎ̥">
    <w:altName w:val="Segoe Print"/>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FB102"/>
    <w:multiLevelType w:val="singleLevel"/>
    <w:tmpl w:val="0E8FB102"/>
    <w:lvl w:ilvl="0" w:tentative="0">
      <w:start w:val="1"/>
      <w:numFmt w:val="chineseCounting"/>
      <w:suff w:val="nothing"/>
      <w:lvlText w:val="%1、"/>
      <w:lvlJc w:val="left"/>
      <w:rPr>
        <w:rFonts w:hint="eastAsia"/>
      </w:rPr>
    </w:lvl>
  </w:abstractNum>
  <w:abstractNum w:abstractNumId="1">
    <w:nsid w:val="5604D328"/>
    <w:multiLevelType w:val="singleLevel"/>
    <w:tmpl w:val="5604D328"/>
    <w:lvl w:ilvl="0" w:tentative="0">
      <w:start w:val="1"/>
      <w:numFmt w:val="chineseCounting"/>
      <w:suff w:val="nothing"/>
      <w:lvlText w:val="（%1）"/>
      <w:lvlJc w:val="left"/>
      <w:pPr>
        <w:ind w:left="0" w:firstLine="0"/>
      </w:p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noPunctuationKerning w:val="1"/>
  <w:characterSpacingControl w:val="doNotCompress"/>
  <w:compat>
    <w:doNotSnapToGridInCell/>
    <w:doNotWrapTextWithPunct/>
    <w:doNotUseEastAsianBreakRules/>
    <w:growAutofit/>
    <w:useFELayout/>
    <w:compatSetting w:name="compatibilityMode" w:uri="http://schemas.microsoft.com/office/word" w:val="14"/>
  </w:compat>
  <w:rsids>
    <w:rsidRoot w:val="00D70A9F"/>
    <w:rsid w:val="00084E51"/>
    <w:rsid w:val="0016372F"/>
    <w:rsid w:val="001C02D1"/>
    <w:rsid w:val="002749F1"/>
    <w:rsid w:val="00344B97"/>
    <w:rsid w:val="006E16D0"/>
    <w:rsid w:val="007549ED"/>
    <w:rsid w:val="00842E6B"/>
    <w:rsid w:val="009454CE"/>
    <w:rsid w:val="00A46D52"/>
    <w:rsid w:val="00AF4504"/>
    <w:rsid w:val="00B23D14"/>
    <w:rsid w:val="00BC378E"/>
    <w:rsid w:val="00D14389"/>
    <w:rsid w:val="00D70A9F"/>
    <w:rsid w:val="00D912C0"/>
    <w:rsid w:val="00E1190C"/>
    <w:rsid w:val="00E66055"/>
    <w:rsid w:val="00F304BF"/>
    <w:rsid w:val="00F50861"/>
    <w:rsid w:val="014148BA"/>
    <w:rsid w:val="01585AD4"/>
    <w:rsid w:val="021578FC"/>
    <w:rsid w:val="02427122"/>
    <w:rsid w:val="031B6EA8"/>
    <w:rsid w:val="041B009A"/>
    <w:rsid w:val="04F87560"/>
    <w:rsid w:val="05D10415"/>
    <w:rsid w:val="079A0CF5"/>
    <w:rsid w:val="0AE2120E"/>
    <w:rsid w:val="0DA32EA2"/>
    <w:rsid w:val="0FCD3FFE"/>
    <w:rsid w:val="12BE24D2"/>
    <w:rsid w:val="159E2663"/>
    <w:rsid w:val="1E3F4D6A"/>
    <w:rsid w:val="271D4A05"/>
    <w:rsid w:val="28434FEB"/>
    <w:rsid w:val="2EAB731F"/>
    <w:rsid w:val="306A7EF1"/>
    <w:rsid w:val="30C62DA2"/>
    <w:rsid w:val="30FF1926"/>
    <w:rsid w:val="37286FCF"/>
    <w:rsid w:val="3ADF6C60"/>
    <w:rsid w:val="3D2C09EA"/>
    <w:rsid w:val="3D4E7E6A"/>
    <w:rsid w:val="42841AA8"/>
    <w:rsid w:val="44951520"/>
    <w:rsid w:val="50506AA0"/>
    <w:rsid w:val="573555C1"/>
    <w:rsid w:val="66C2387C"/>
    <w:rsid w:val="687B16B5"/>
    <w:rsid w:val="6D445C02"/>
    <w:rsid w:val="70463FDF"/>
    <w:rsid w:val="7A9F36D2"/>
    <w:rsid w:val="7D537421"/>
    <w:rsid w:val="7E3D2EAA"/>
    <w:rsid w:val="7F762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wpsoffice1"/>
    <w:basedOn w:val="1"/>
    <w:qFormat/>
    <w:uiPriority w:val="0"/>
    <w:pPr>
      <w:spacing w:before="100" w:beforeAutospacing="1" w:after="100" w:afterAutospacing="1"/>
    </w:pPr>
  </w:style>
  <w:style w:type="paragraph" w:customStyle="1" w:styleId="7">
    <w:name w:val="wpsoffice2"/>
    <w:basedOn w:val="1"/>
    <w:qFormat/>
    <w:uiPriority w:val="0"/>
    <w:pPr>
      <w:spacing w:before="100" w:beforeAutospacing="1" w:after="100" w:afterAutospacing="1"/>
    </w:pPr>
  </w:style>
  <w:style w:type="character" w:customStyle="1" w:styleId="8">
    <w:name w:val="页眉 Char"/>
    <w:basedOn w:val="5"/>
    <w:link w:val="3"/>
    <w:qFormat/>
    <w:uiPriority w:val="99"/>
    <w:rPr>
      <w:rFonts w:ascii="宋体" w:hAnsi="宋体" w:eastAsia="宋体" w:cs="宋体"/>
      <w:sz w:val="18"/>
      <w:szCs w:val="18"/>
    </w:rPr>
  </w:style>
  <w:style w:type="character" w:customStyle="1" w:styleId="9">
    <w:name w:val="页脚 Char"/>
    <w:basedOn w:val="5"/>
    <w:link w:val="2"/>
    <w:qFormat/>
    <w:uiPriority w:val="99"/>
    <w:rPr>
      <w:rFonts w:ascii="宋体" w:hAnsi="宋体" w:eastAsia="宋体" w:cs="宋体"/>
      <w:sz w:val="18"/>
      <w:szCs w:val="18"/>
    </w:rPr>
  </w:style>
  <w:style w:type="paragraph" w:styleId="10">
    <w:name w:val="List Paragraph"/>
    <w:basedOn w:val="1"/>
    <w:qFormat/>
    <w:uiPriority w:val="34"/>
    <w:pPr>
      <w:ind w:firstLine="420" w:firstLineChars="200"/>
    </w:pPr>
    <w:rPr>
      <w:rFonts w:ascii="Calibri" w:hAnsi="Calibri" w:eastAsia="宋体" w:cs="Times New Roman"/>
      <w:szCs w:val="22"/>
    </w:rPr>
  </w:style>
  <w:style w:type="paragraph" w:customStyle="1" w:styleId="11">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5861</Words>
  <Characters>1088</Characters>
  <Lines>9</Lines>
  <Paragraphs>13</Paragraphs>
  <TotalTime>4</TotalTime>
  <ScaleCrop>false</ScaleCrop>
  <LinksUpToDate>false</LinksUpToDate>
  <CharactersWithSpaces>6936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2019-09-29T03:14:00Z</dcterms:created>
  <dc:creator>pc</dc:creator>
  <cp:lastModifiedBy>lenovo</cp:lastModifiedBy>
  <cp:lastPrinted>2019-09-29T07:36:00Z</cp:lastPrinted>
  <dcterms:modified xsi:type="dcterms:W3CDTF">2019-10-30T03:10:53Z</dcterms:modified>
  <dc:title>公开文本2018</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